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AE1CF" w14:textId="50D895D7" w:rsidR="00CB6AD5" w:rsidRPr="00CB6AD5" w:rsidRDefault="00CB6AD5" w:rsidP="000E5288">
      <w:pPr>
        <w:pStyle w:val="Heading1"/>
      </w:pPr>
      <w:r w:rsidRPr="00CB6AD5">
        <w:t>6.60 Emergency Reserve Pools</w:t>
      </w:r>
    </w:p>
    <w:p w14:paraId="48D59B37" w14:textId="61254AF9" w:rsidR="00CB6AD5" w:rsidRPr="00CB6AD5" w:rsidRDefault="00CB6AD5" w:rsidP="00D11B18">
      <w:pPr>
        <w:pStyle w:val="Heading2"/>
      </w:pPr>
      <w:r w:rsidRPr="00CB6AD5">
        <w:t>Purpose and Intent</w:t>
      </w:r>
    </w:p>
    <w:p w14:paraId="56B752C2" w14:textId="77777777" w:rsidR="00365F36" w:rsidRPr="00365F36" w:rsidRDefault="00365F36" w:rsidP="00365F36">
      <w:r w:rsidRPr="00365F36">
        <w:t>Under legislative direction, the State Board established an Emergency Reserve Fund using a portion of the state capital appropriation designated for preservation funding. This reserve is intended to supplement other state funds allocated to each college, as well as local resources, in addressing unanticipated repairs resulting from significant facility emergencies.</w:t>
      </w:r>
    </w:p>
    <w:p w14:paraId="51EEB651" w14:textId="77777777" w:rsidR="00365F36" w:rsidRPr="00365F36" w:rsidRDefault="00365F36" w:rsidP="00365F36">
      <w:r w:rsidRPr="00365F36">
        <w:t>Within the Emergency Reserve Fund, the State Board also established a Hazardous Materials Mitigation and Abatement Pool. This targeted pool of funds is intended to assist colleges in addressing unanticipated asbestos and other hazardous materials conditions that require mitigation or abatement to protect health, safety, or continued facility use.</w:t>
      </w:r>
    </w:p>
    <w:p w14:paraId="45B05EBA" w14:textId="5220EEA1" w:rsidR="00CB6AD5" w:rsidRPr="00CB6AD5" w:rsidRDefault="00366F92" w:rsidP="00CB6AD5">
      <w:r>
        <w:t>Together, the</w:t>
      </w:r>
      <w:r w:rsidR="00CB6AD5" w:rsidRPr="00CB6AD5">
        <w:t xml:space="preserve"> emergency and hazardous materials mitigation funding pools support colleges in responding to unanticipated conditions that pose immediate risks to life safety, property, or the continuity of essential educational programs, and that cannot reasonably be deferred to the next biennial budget cycle.</w:t>
      </w:r>
    </w:p>
    <w:p w14:paraId="1A2EE5EE" w14:textId="77777777" w:rsidR="00CB6AD5" w:rsidRPr="00CB6AD5" w:rsidRDefault="00CB6AD5" w:rsidP="00CB6AD5">
      <w:r w:rsidRPr="00CB6AD5">
        <w:t>These funding pools are intended to:</w:t>
      </w:r>
    </w:p>
    <w:p w14:paraId="1437A591" w14:textId="77777777" w:rsidR="00CB6AD5" w:rsidRPr="00CB6AD5" w:rsidRDefault="00CB6AD5" w:rsidP="00CB6AD5">
      <w:pPr>
        <w:numPr>
          <w:ilvl w:val="0"/>
          <w:numId w:val="1"/>
        </w:numPr>
      </w:pPr>
      <w:r w:rsidRPr="00CB6AD5">
        <w:t>Address conditions that exceed a college’s capacity to respond using available local funds, the Unanticipated Repair Fund (URF), or other planned capital resources; and</w:t>
      </w:r>
    </w:p>
    <w:p w14:paraId="35D777CE" w14:textId="77777777" w:rsidR="00CB6AD5" w:rsidRPr="00CB6AD5" w:rsidRDefault="00CB6AD5" w:rsidP="00CB6AD5">
      <w:pPr>
        <w:numPr>
          <w:ilvl w:val="0"/>
          <w:numId w:val="1"/>
        </w:numPr>
      </w:pPr>
      <w:r w:rsidRPr="00CB6AD5">
        <w:t>Ensure timely and appropriate response to urgent situations while maintaining clear distinctions between emergencies, hazardous material mitigation, and planned capital needs.</w:t>
      </w:r>
    </w:p>
    <w:p w14:paraId="440A9444" w14:textId="3480F596" w:rsidR="00A0582E" w:rsidRDefault="00A0582E" w:rsidP="00CB6AD5">
      <w:r>
        <w:t xml:space="preserve">The funds are subject to appropriation </w:t>
      </w:r>
      <w:r w:rsidR="00C72CE4">
        <w:t xml:space="preserve">by the </w:t>
      </w:r>
      <w:proofErr w:type="gramStart"/>
      <w:r w:rsidR="00C72CE4">
        <w:t>Legislature</w:t>
      </w:r>
      <w:proofErr w:type="gramEnd"/>
      <w:r w:rsidR="00C72CE4">
        <w:t xml:space="preserve"> each biennium</w:t>
      </w:r>
      <w:r w:rsidR="006A3A19">
        <w:t>,</w:t>
      </w:r>
      <w:r w:rsidR="00C72CE4">
        <w:t xml:space="preserve"> and </w:t>
      </w:r>
      <w:r w:rsidR="00B11BA6">
        <w:t>each</w:t>
      </w:r>
      <w:r w:rsidR="00C72CE4">
        <w:t xml:space="preserve"> pool is </w:t>
      </w:r>
      <w:r w:rsidR="006A3A19">
        <w:t xml:space="preserve">administered </w:t>
      </w:r>
      <w:r w:rsidR="00C72CE4">
        <w:t>on a first</w:t>
      </w:r>
      <w:r w:rsidR="006A3A19">
        <w:t>-</w:t>
      </w:r>
      <w:r w:rsidR="00C72CE4">
        <w:t xml:space="preserve">come, </w:t>
      </w:r>
      <w:r w:rsidR="006A3A19">
        <w:t>first-served</w:t>
      </w:r>
      <w:r w:rsidR="00C72CE4">
        <w:t xml:space="preserve"> basis until </w:t>
      </w:r>
      <w:r w:rsidR="006A3A19">
        <w:t>fully expended</w:t>
      </w:r>
      <w:r w:rsidR="00C72CE4">
        <w:t xml:space="preserve">. </w:t>
      </w:r>
    </w:p>
    <w:p w14:paraId="47E052CE" w14:textId="77777777" w:rsidR="008078F3" w:rsidRDefault="008078F3" w:rsidP="00CB6AD5"/>
    <w:p w14:paraId="16C52387" w14:textId="546ADCDA" w:rsidR="00CB6AD5" w:rsidRPr="00CB6AD5" w:rsidRDefault="00CB6AD5" w:rsidP="00D11B18">
      <w:pPr>
        <w:pStyle w:val="Heading2"/>
      </w:pPr>
      <w:r w:rsidRPr="00CB6AD5">
        <w:t>6.60.</w:t>
      </w:r>
      <w:r w:rsidR="00461150">
        <w:t>1</w:t>
      </w:r>
      <w:r w:rsidRPr="00CB6AD5">
        <w:t xml:space="preserve">0 Emergency </w:t>
      </w:r>
      <w:r w:rsidR="003D2973">
        <w:t>Reserve Fund</w:t>
      </w:r>
    </w:p>
    <w:p w14:paraId="618676EF" w14:textId="2F67A429" w:rsidR="00CB6AD5" w:rsidRPr="00CB6AD5" w:rsidRDefault="00CB6AD5" w:rsidP="00CB6AD5">
      <w:r w:rsidRPr="00CB6AD5">
        <w:t xml:space="preserve">The Emergency </w:t>
      </w:r>
      <w:r w:rsidR="003D2973">
        <w:t>Reserve Fund</w:t>
      </w:r>
      <w:r w:rsidRPr="00CB6AD5">
        <w:t xml:space="preserve"> provides financial assistance for catastrophic or critical facility failures requiring immediate action to prevent:</w:t>
      </w:r>
    </w:p>
    <w:p w14:paraId="7E8DAC53" w14:textId="77777777" w:rsidR="00CB6AD5" w:rsidRPr="00CB6AD5" w:rsidRDefault="00CB6AD5" w:rsidP="00CB6AD5">
      <w:pPr>
        <w:numPr>
          <w:ilvl w:val="0"/>
          <w:numId w:val="2"/>
        </w:numPr>
      </w:pPr>
      <w:r w:rsidRPr="00CB6AD5">
        <w:t>Loss of use of a major facility or system;</w:t>
      </w:r>
    </w:p>
    <w:p w14:paraId="1C18F5E0" w14:textId="77777777" w:rsidR="00CB6AD5" w:rsidRPr="00CB6AD5" w:rsidRDefault="00CB6AD5" w:rsidP="00CB6AD5">
      <w:pPr>
        <w:numPr>
          <w:ilvl w:val="0"/>
          <w:numId w:val="2"/>
        </w:numPr>
      </w:pPr>
      <w:r w:rsidRPr="00CB6AD5">
        <w:t>Significant disruption to instructional or support programs; or</w:t>
      </w:r>
    </w:p>
    <w:p w14:paraId="049D4076" w14:textId="77777777" w:rsidR="00CB6AD5" w:rsidRPr="00CB6AD5" w:rsidRDefault="00CB6AD5" w:rsidP="00CB6AD5">
      <w:pPr>
        <w:numPr>
          <w:ilvl w:val="0"/>
          <w:numId w:val="2"/>
        </w:numPr>
      </w:pPr>
      <w:r w:rsidRPr="00CB6AD5">
        <w:lastRenderedPageBreak/>
        <w:t>Serious risk to life safety or property.</w:t>
      </w:r>
    </w:p>
    <w:p w14:paraId="1FBE972E" w14:textId="1A0EF5A1" w:rsidR="00CB6AD5" w:rsidRPr="00CB6AD5" w:rsidRDefault="00CB6AD5" w:rsidP="00CB6AD5">
      <w:r w:rsidRPr="00CB6AD5">
        <w:t xml:space="preserve">Emergency </w:t>
      </w:r>
      <w:r w:rsidR="003D2973">
        <w:t>reserve</w:t>
      </w:r>
      <w:r w:rsidRPr="00CB6AD5">
        <w:t xml:space="preserve"> funding is intended for situations where </w:t>
      </w:r>
      <w:proofErr w:type="gramStart"/>
      <w:r w:rsidRPr="00CB6AD5">
        <w:t>delay</w:t>
      </w:r>
      <w:proofErr w:type="gramEnd"/>
      <w:r w:rsidRPr="00CB6AD5">
        <w:t xml:space="preserve"> would result in substantial harm or increased costs and where the required work cannot reasonably be deferred to the next legislative funding opportunity.</w:t>
      </w:r>
    </w:p>
    <w:p w14:paraId="5268C332" w14:textId="69403CE9" w:rsidR="003D5FFA" w:rsidRDefault="001F38DA" w:rsidP="00CB6AD5">
      <w:r w:rsidRPr="001F38DA">
        <w:t>Each college is expected to address relatively small repairs using its own resources, regardless of urgency. A portion of state funds for unanticipated repairs (URF) should be available to colleges for nonemergency use.</w:t>
      </w:r>
      <w:r w:rsidR="00D55ADC" w:rsidRPr="00D55ADC">
        <w:t xml:space="preserve"> However, depending on the nature of the emergency, the full use of URF funds may be necessary.</w:t>
      </w:r>
    </w:p>
    <w:p w14:paraId="47873A54" w14:textId="77777777" w:rsidR="00BB0E80" w:rsidRPr="00BB0E80" w:rsidRDefault="00BB0E80" w:rsidP="00BB0E80">
      <w:r w:rsidRPr="00BB0E80">
        <w:t>Emergency Reserve funding requires project close</w:t>
      </w:r>
      <w:r w:rsidRPr="00BB0E80">
        <w:noBreakHyphen/>
        <w:t>out documentation, including submission of all project invoices to SBCTC.</w:t>
      </w:r>
    </w:p>
    <w:p w14:paraId="6DBA8EE8" w14:textId="0FBB9BE3" w:rsidR="00CB6AD5" w:rsidRPr="00CB6AD5" w:rsidRDefault="00CB6AD5" w:rsidP="005E4D72">
      <w:pPr>
        <w:pStyle w:val="Heading3"/>
      </w:pPr>
      <w:r w:rsidRPr="00CB6AD5">
        <w:t>Definition of Emergency</w:t>
      </w:r>
    </w:p>
    <w:p w14:paraId="3D0376A4" w14:textId="200B1ADB" w:rsidR="005419FC" w:rsidRPr="005419FC" w:rsidRDefault="005419FC" w:rsidP="005419FC">
      <w:r w:rsidRPr="005419FC">
        <w:t xml:space="preserve">“Emergency” means an unanticipated event or condition affecting a </w:t>
      </w:r>
      <w:r w:rsidR="1362D488">
        <w:t>state-</w:t>
      </w:r>
      <w:r w:rsidRPr="005419FC">
        <w:t>owned college facility, building system, or infrastructure that requires immediate action and meets one or more of the following criteria:</w:t>
      </w:r>
    </w:p>
    <w:p w14:paraId="48EB4A11" w14:textId="2A551906" w:rsidR="005419FC" w:rsidRPr="005419FC" w:rsidRDefault="005419FC" w:rsidP="005419FC">
      <w:pPr>
        <w:numPr>
          <w:ilvl w:val="0"/>
          <w:numId w:val="7"/>
        </w:numPr>
      </w:pPr>
      <w:r w:rsidRPr="005419FC">
        <w:t>Catastrophic loss or failure</w:t>
      </w:r>
      <w:r w:rsidR="001B1B14">
        <w:rPr>
          <w:rStyle w:val="EndnoteReference"/>
        </w:rPr>
        <w:endnoteReference w:id="1"/>
      </w:r>
      <w:r w:rsidRPr="005419FC">
        <w:t xml:space="preserve"> of a building, building system, or critical infrastructure;</w:t>
      </w:r>
    </w:p>
    <w:p w14:paraId="05855BE0" w14:textId="77777777" w:rsidR="005419FC" w:rsidRPr="005419FC" w:rsidRDefault="005419FC" w:rsidP="005419FC">
      <w:pPr>
        <w:numPr>
          <w:ilvl w:val="0"/>
          <w:numId w:val="7"/>
        </w:numPr>
      </w:pPr>
      <w:r w:rsidRPr="005419FC">
        <w:t>A condition that presents an imminent threat to health, safety, or property;</w:t>
      </w:r>
    </w:p>
    <w:p w14:paraId="682250DA" w14:textId="77777777" w:rsidR="005419FC" w:rsidRPr="005419FC" w:rsidRDefault="005419FC" w:rsidP="005419FC">
      <w:pPr>
        <w:numPr>
          <w:ilvl w:val="0"/>
          <w:numId w:val="7"/>
        </w:numPr>
      </w:pPr>
      <w:r w:rsidRPr="005419FC">
        <w:t>A capital repair that cannot be deferred to the next biennial capital budget cycle;</w:t>
      </w:r>
    </w:p>
    <w:p w14:paraId="0784A90B" w14:textId="77777777" w:rsidR="005419FC" w:rsidRPr="005419FC" w:rsidRDefault="005419FC" w:rsidP="005419FC">
      <w:pPr>
        <w:numPr>
          <w:ilvl w:val="0"/>
          <w:numId w:val="7"/>
        </w:numPr>
      </w:pPr>
      <w:r w:rsidRPr="005419FC">
        <w:t>Work that cannot be accomplished through the Unanticipated Repair Fund (URF) and exceeds the college’s ability to respond using available minor works or preservation funding;</w:t>
      </w:r>
    </w:p>
    <w:p w14:paraId="0755C96A" w14:textId="77777777" w:rsidR="005419FC" w:rsidRPr="005419FC" w:rsidRDefault="005419FC" w:rsidP="005419FC">
      <w:pPr>
        <w:numPr>
          <w:ilvl w:val="0"/>
          <w:numId w:val="7"/>
        </w:numPr>
      </w:pPr>
      <w:r w:rsidRPr="005419FC">
        <w:t>Circumstances where delay in repair would result in costly collateral damage to facilities, systems, or equipment;</w:t>
      </w:r>
    </w:p>
    <w:p w14:paraId="011CA6C0" w14:textId="77777777" w:rsidR="005419FC" w:rsidRPr="005419FC" w:rsidRDefault="005419FC" w:rsidP="005419FC">
      <w:pPr>
        <w:numPr>
          <w:ilvl w:val="0"/>
          <w:numId w:val="7"/>
        </w:numPr>
      </w:pPr>
      <w:r w:rsidRPr="005419FC">
        <w:t>Conditions that place significant portions of a college’s instructional or support programs at risk; or</w:t>
      </w:r>
    </w:p>
    <w:p w14:paraId="4335D2EA" w14:textId="791D6B21" w:rsidR="005419FC" w:rsidRPr="005419FC" w:rsidRDefault="005419FC" w:rsidP="005419FC">
      <w:pPr>
        <w:numPr>
          <w:ilvl w:val="0"/>
          <w:numId w:val="7"/>
        </w:numPr>
      </w:pPr>
      <w:r w:rsidRPr="005419FC">
        <w:t xml:space="preserve">Situations in which </w:t>
      </w:r>
      <w:r w:rsidR="0F6DCF8C">
        <w:t xml:space="preserve">life </w:t>
      </w:r>
      <w:r w:rsidRPr="005419FC">
        <w:t>safety or property risks are too great to remain unaddressed.</w:t>
      </w:r>
    </w:p>
    <w:p w14:paraId="303E0752" w14:textId="77777777" w:rsidR="00B6170F" w:rsidRPr="00AB19CF" w:rsidRDefault="00B6170F" w:rsidP="00AB19CF">
      <w:r w:rsidRPr="00AB19CF">
        <w:t>Emergency conditions often require rapid mobilization and may involve a formal Declaration of Emergency by the Department of Enterprise Services (DES) to expedite procurement or construction activities.</w:t>
      </w:r>
    </w:p>
    <w:p w14:paraId="56AB9CCB" w14:textId="68FD3651" w:rsidR="00B6170F" w:rsidRPr="00AB19CF" w:rsidRDefault="00B6170F" w:rsidP="00AB19CF">
      <w:r w:rsidRPr="00AB19CF">
        <w:t xml:space="preserve">The State Board’s emergency reserve policy and procedures are separate from and independent of DES emergency procedures. SBCTC authorization governs the availability of </w:t>
      </w:r>
      <w:r w:rsidR="00C13D5A">
        <w:t xml:space="preserve">State Board </w:t>
      </w:r>
      <w:r w:rsidRPr="00AB19CF">
        <w:t xml:space="preserve">emergency funding, while DES authorization governs procurement and </w:t>
      </w:r>
      <w:r w:rsidRPr="00AB19CF">
        <w:lastRenderedPageBreak/>
        <w:t>contracting authority. Authorization under one process does not imply authorization under the other.</w:t>
      </w:r>
    </w:p>
    <w:p w14:paraId="10AB06F1" w14:textId="77777777" w:rsidR="00B6170F" w:rsidRPr="00AB19CF" w:rsidRDefault="00B6170F" w:rsidP="00AB19CF">
      <w:r w:rsidRPr="00AB19CF">
        <w:t xml:space="preserve">Depending on the circumstances of the emergency, a college may be required to follow both SBCTC and DES emergency procedures </w:t>
      </w:r>
      <w:proofErr w:type="gramStart"/>
      <w:r w:rsidRPr="00AB19CF">
        <w:t>in order to</w:t>
      </w:r>
      <w:proofErr w:type="gramEnd"/>
      <w:r w:rsidRPr="00AB19CF">
        <w:t xml:space="preserve"> complete an emergency repair.</w:t>
      </w:r>
    </w:p>
    <w:p w14:paraId="286F5DF8" w14:textId="125E1CA9" w:rsidR="00CB6AD5" w:rsidRPr="00CB6AD5" w:rsidRDefault="002153A1" w:rsidP="005E4D72">
      <w:pPr>
        <w:pStyle w:val="Heading3"/>
      </w:pPr>
      <w:r>
        <w:t>Exclusions</w:t>
      </w:r>
    </w:p>
    <w:p w14:paraId="29BFC933" w14:textId="77777777" w:rsidR="002153A1" w:rsidRDefault="002153A1" w:rsidP="002153A1">
      <w:r w:rsidRPr="002153A1">
        <w:t>SBCTC emergency funds will not be considered for purposes of:</w:t>
      </w:r>
    </w:p>
    <w:p w14:paraId="69290A48" w14:textId="2BB876CB" w:rsidR="001D4255" w:rsidRPr="001D4255" w:rsidRDefault="001D4255" w:rsidP="001D4255">
      <w:pPr>
        <w:pStyle w:val="ListParagraph"/>
        <w:numPr>
          <w:ilvl w:val="0"/>
          <w:numId w:val="8"/>
        </w:numPr>
      </w:pPr>
      <w:r w:rsidRPr="001D4255">
        <w:t>Augmenting non</w:t>
      </w:r>
      <w:r w:rsidRPr="001D4255">
        <w:noBreakHyphen/>
        <w:t xml:space="preserve">emergency local capital projects; </w:t>
      </w:r>
    </w:p>
    <w:p w14:paraId="667C6CA8" w14:textId="5BFBE8C6" w:rsidR="001D4255" w:rsidRPr="001D4255" w:rsidRDefault="001D4255" w:rsidP="001D4255">
      <w:pPr>
        <w:pStyle w:val="ListParagraph"/>
        <w:numPr>
          <w:ilvl w:val="0"/>
          <w:numId w:val="8"/>
        </w:numPr>
      </w:pPr>
      <w:r w:rsidRPr="001D4255">
        <w:t xml:space="preserve">Augmenting </w:t>
      </w:r>
      <w:r w:rsidR="38210D86">
        <w:t xml:space="preserve">state </w:t>
      </w:r>
      <w:r w:rsidRPr="001D4255">
        <w:t xml:space="preserve">funded capital projects, including program or preservation projects, except under unforeseeable circumstances (e.g., extreme weather damage or other unexpected events); or </w:t>
      </w:r>
    </w:p>
    <w:p w14:paraId="4E615693" w14:textId="1B554129" w:rsidR="001D4255" w:rsidRPr="001D4255" w:rsidRDefault="001D4255" w:rsidP="001D4255">
      <w:pPr>
        <w:pStyle w:val="ListParagraph"/>
        <w:numPr>
          <w:ilvl w:val="0"/>
          <w:numId w:val="8"/>
        </w:numPr>
      </w:pPr>
      <w:r w:rsidRPr="001D4255">
        <w:t>Funding repairs or replacements that can reasonably be deferred to a future biennial or supplemental legislative funding opportunity.</w:t>
      </w:r>
    </w:p>
    <w:p w14:paraId="2C4484B9" w14:textId="7A2BDA11" w:rsidR="001433A8" w:rsidRDefault="001433A8" w:rsidP="007306EB">
      <w:pPr>
        <w:pStyle w:val="Heading3"/>
      </w:pPr>
      <w:r>
        <w:t>Allocation Formula</w:t>
      </w:r>
    </w:p>
    <w:p w14:paraId="0FF74E4C" w14:textId="77777777" w:rsidR="00184C15" w:rsidRPr="00184C15" w:rsidRDefault="00184C15" w:rsidP="00184C15">
      <w:r w:rsidRPr="00184C15">
        <w:t>Emergency Reserve funding, in conjunction with local college resources, for a specific facility emergency shall be administered as follows:</w:t>
      </w:r>
    </w:p>
    <w:p w14:paraId="1D837D32" w14:textId="77777777" w:rsidR="00184C15" w:rsidRPr="00184C15" w:rsidRDefault="00184C15" w:rsidP="00184C15">
      <w:r w:rsidRPr="00272A38">
        <w:t>For emergency repairs exceeding five percent of the college’s biennial Unanticipated Repair Fund (URF) allocation</w:t>
      </w:r>
      <w:r w:rsidRPr="00184C15">
        <w:t xml:space="preserve">, the college’s required contribution shall consist of a </w:t>
      </w:r>
      <w:r w:rsidRPr="00272A38">
        <w:t>five percent contribution based on the URF allocation</w:t>
      </w:r>
      <w:r w:rsidRPr="00184C15">
        <w:t xml:space="preserve"> (the “deductible”), with the </w:t>
      </w:r>
      <w:r w:rsidRPr="00272A38">
        <w:t>remaining eligible project costs funded in accordance with Table 1</w:t>
      </w:r>
      <w:r w:rsidRPr="00184C15">
        <w:t>.</w:t>
      </w:r>
    </w:p>
    <w:p w14:paraId="5A2415AE" w14:textId="61F4FC93" w:rsidR="00B15C5B" w:rsidRDefault="00686813" w:rsidP="005753BA">
      <w:pPr>
        <w:spacing w:after="0"/>
      </w:pPr>
      <w:r>
        <w:t>Table 1</w:t>
      </w:r>
      <w:r w:rsidR="00A13993">
        <w:t>:</w:t>
      </w:r>
      <w:r w:rsidR="008118A7">
        <w:t xml:space="preserve"> </w:t>
      </w:r>
      <w:r w:rsidR="005753BA">
        <w:t>Emergency Reserve Allocation Formula</w:t>
      </w:r>
    </w:p>
    <w:p w14:paraId="74A75056" w14:textId="3415674A" w:rsidR="005753BA" w:rsidRPr="00077CEC" w:rsidRDefault="005753BA" w:rsidP="002D1DE1">
      <w:r>
        <w:t>(Deductible-plus model)</w:t>
      </w:r>
    </w:p>
    <w:tbl>
      <w:tblPr>
        <w:tblStyle w:val="TableGrid"/>
        <w:tblW w:w="0" w:type="auto"/>
        <w:tblLook w:val="04A0" w:firstRow="1" w:lastRow="0" w:firstColumn="1" w:lastColumn="0" w:noHBand="0" w:noVBand="1"/>
      </w:tblPr>
      <w:tblGrid>
        <w:gridCol w:w="2515"/>
        <w:gridCol w:w="3718"/>
        <w:gridCol w:w="3117"/>
      </w:tblGrid>
      <w:tr w:rsidR="00D835D2" w14:paraId="747BB915" w14:textId="77777777" w:rsidTr="00873366">
        <w:tc>
          <w:tcPr>
            <w:tcW w:w="2515" w:type="dxa"/>
          </w:tcPr>
          <w:p w14:paraId="093F67B7" w14:textId="49E58405" w:rsidR="00D835D2" w:rsidRPr="002D1DE1" w:rsidRDefault="0022585C" w:rsidP="005B2215">
            <w:pPr>
              <w:rPr>
                <w:b/>
                <w:bCs/>
              </w:rPr>
            </w:pPr>
            <w:r w:rsidRPr="002D1DE1">
              <w:rPr>
                <w:b/>
                <w:bCs/>
              </w:rPr>
              <w:t>Instance</w:t>
            </w:r>
            <w:r w:rsidR="007868F7">
              <w:rPr>
                <w:b/>
                <w:bCs/>
              </w:rPr>
              <w:t xml:space="preserve"> in Biennium</w:t>
            </w:r>
          </w:p>
        </w:tc>
        <w:tc>
          <w:tcPr>
            <w:tcW w:w="3718" w:type="dxa"/>
          </w:tcPr>
          <w:p w14:paraId="607A9299" w14:textId="5993F645" w:rsidR="00D835D2" w:rsidRPr="002D1DE1" w:rsidRDefault="0022585C" w:rsidP="005B2215">
            <w:pPr>
              <w:rPr>
                <w:b/>
                <w:bCs/>
              </w:rPr>
            </w:pPr>
            <w:r w:rsidRPr="002D1DE1">
              <w:rPr>
                <w:b/>
                <w:bCs/>
              </w:rPr>
              <w:t>College Contribution</w:t>
            </w:r>
            <w:r w:rsidR="00785EE6" w:rsidRPr="002D1DE1">
              <w:rPr>
                <w:b/>
                <w:bCs/>
              </w:rPr>
              <w:t>*</w:t>
            </w:r>
          </w:p>
        </w:tc>
        <w:tc>
          <w:tcPr>
            <w:tcW w:w="3117" w:type="dxa"/>
          </w:tcPr>
          <w:p w14:paraId="5956DD7C" w14:textId="3E8E16E2" w:rsidR="00D835D2" w:rsidRPr="002D1DE1" w:rsidRDefault="0022585C" w:rsidP="005B2215">
            <w:pPr>
              <w:rPr>
                <w:b/>
                <w:bCs/>
              </w:rPr>
            </w:pPr>
            <w:r w:rsidRPr="002D1DE1">
              <w:rPr>
                <w:b/>
                <w:bCs/>
              </w:rPr>
              <w:t>SBCTC Contribution</w:t>
            </w:r>
          </w:p>
        </w:tc>
      </w:tr>
      <w:tr w:rsidR="00D835D2" w14:paraId="7CCC0DB4" w14:textId="77777777" w:rsidTr="00873366">
        <w:tc>
          <w:tcPr>
            <w:tcW w:w="2515" w:type="dxa"/>
          </w:tcPr>
          <w:p w14:paraId="49784F11" w14:textId="64256942" w:rsidR="00D835D2" w:rsidRDefault="0022585C" w:rsidP="005B2215">
            <w:r>
              <w:t>First</w:t>
            </w:r>
            <w:r w:rsidR="005753BA">
              <w:t xml:space="preserve"> </w:t>
            </w:r>
            <w:r w:rsidR="007868F7">
              <w:t>emergency project</w:t>
            </w:r>
          </w:p>
        </w:tc>
        <w:tc>
          <w:tcPr>
            <w:tcW w:w="3718" w:type="dxa"/>
          </w:tcPr>
          <w:p w14:paraId="277E2382" w14:textId="7C42918E" w:rsidR="00D835D2" w:rsidRDefault="007416F1" w:rsidP="005B2215">
            <w:r>
              <w:t>50% of cost</w:t>
            </w:r>
            <w:r w:rsidR="00873366">
              <w:t>s,</w:t>
            </w:r>
            <w:r>
              <w:t xml:space="preserve"> up to</w:t>
            </w:r>
            <w:r w:rsidR="00B67C37">
              <w:t xml:space="preserve"> one-third</w:t>
            </w:r>
            <w:r>
              <w:t xml:space="preserve"> </w:t>
            </w:r>
            <w:r w:rsidR="00B67C37">
              <w:t>(</w:t>
            </w:r>
            <w:r>
              <w:t>1/3</w:t>
            </w:r>
            <w:r w:rsidR="00B67C37">
              <w:t>)</w:t>
            </w:r>
            <w:r>
              <w:t xml:space="preserve"> of</w:t>
            </w:r>
            <w:r w:rsidR="00B67C37">
              <w:t xml:space="preserve"> the college’s biennial </w:t>
            </w:r>
            <w:r w:rsidR="001A7283">
              <w:t>URF</w:t>
            </w:r>
            <w:r w:rsidR="00B67C37">
              <w:t xml:space="preserve"> allocation</w:t>
            </w:r>
          </w:p>
        </w:tc>
        <w:tc>
          <w:tcPr>
            <w:tcW w:w="3117" w:type="dxa"/>
          </w:tcPr>
          <w:p w14:paraId="2D24EE05" w14:textId="6F155F11" w:rsidR="00D835D2" w:rsidRDefault="001A7283" w:rsidP="005B2215">
            <w:r>
              <w:t xml:space="preserve">Remaining </w:t>
            </w:r>
            <w:r w:rsidR="00747491">
              <w:t xml:space="preserve">eligible </w:t>
            </w:r>
            <w:r>
              <w:t>costs</w:t>
            </w:r>
            <w:r w:rsidR="001E2C60">
              <w:t>,</w:t>
            </w:r>
            <w:r w:rsidR="00747491">
              <w:t xml:space="preserve"> up to</w:t>
            </w:r>
            <w:r>
              <w:t xml:space="preserve"> $500,000</w:t>
            </w:r>
            <w:r w:rsidR="001E2C60">
              <w:t xml:space="preserve"> per project</w:t>
            </w:r>
          </w:p>
        </w:tc>
      </w:tr>
      <w:tr w:rsidR="001A7283" w14:paraId="55741D5F" w14:textId="77777777" w:rsidTr="00873366">
        <w:tc>
          <w:tcPr>
            <w:tcW w:w="2515" w:type="dxa"/>
          </w:tcPr>
          <w:p w14:paraId="76BBCCE2" w14:textId="2BB8BBFE" w:rsidR="001A7283" w:rsidRDefault="001A7283" w:rsidP="005B2215">
            <w:r>
              <w:t>Second</w:t>
            </w:r>
            <w:r w:rsidR="007868F7">
              <w:t xml:space="preserve"> emergency</w:t>
            </w:r>
            <w:r w:rsidR="000A4DCE">
              <w:t xml:space="preserve"> project</w:t>
            </w:r>
          </w:p>
        </w:tc>
        <w:tc>
          <w:tcPr>
            <w:tcW w:w="3718" w:type="dxa"/>
          </w:tcPr>
          <w:p w14:paraId="1DAFE8FF" w14:textId="122A1B9A" w:rsidR="001A7283" w:rsidRDefault="009E55F5" w:rsidP="005B2215">
            <w:r w:rsidRPr="009E55F5">
              <w:t xml:space="preserve">50% of eligible costs, up to </w:t>
            </w:r>
            <w:r w:rsidR="4C2E8F0E">
              <w:t>one-</w:t>
            </w:r>
            <w:r w:rsidRPr="009E55F5">
              <w:t>third (1/3) of the college’s biennial URF allocation, applied to the combined total of the first and second projects</w:t>
            </w:r>
          </w:p>
        </w:tc>
        <w:tc>
          <w:tcPr>
            <w:tcW w:w="3117" w:type="dxa"/>
          </w:tcPr>
          <w:p w14:paraId="008A51E3" w14:textId="7C3D5F3F" w:rsidR="001A7283" w:rsidRDefault="008575B3" w:rsidP="005B2215">
            <w:r>
              <w:t>Remaining eligible costs</w:t>
            </w:r>
            <w:r w:rsidR="001E2C60">
              <w:t>,</w:t>
            </w:r>
            <w:r>
              <w:t xml:space="preserve"> up to $500,000</w:t>
            </w:r>
            <w:r w:rsidR="004C14DC">
              <w:t xml:space="preserve"> per project</w:t>
            </w:r>
          </w:p>
        </w:tc>
      </w:tr>
      <w:tr w:rsidR="00785EE6" w14:paraId="3440DE62" w14:textId="77777777" w:rsidTr="00873366">
        <w:tc>
          <w:tcPr>
            <w:tcW w:w="2515" w:type="dxa"/>
          </w:tcPr>
          <w:p w14:paraId="35C9178B" w14:textId="77C652A9" w:rsidR="00785EE6" w:rsidRDefault="00FB6DCA" w:rsidP="005B2215">
            <w:r>
              <w:t xml:space="preserve">Third </w:t>
            </w:r>
            <w:r w:rsidR="00873366">
              <w:t xml:space="preserve">and </w:t>
            </w:r>
            <w:r>
              <w:t>subsequent</w:t>
            </w:r>
            <w:r w:rsidR="00873366">
              <w:t xml:space="preserve"> emergency projects</w:t>
            </w:r>
          </w:p>
        </w:tc>
        <w:tc>
          <w:tcPr>
            <w:tcW w:w="3718" w:type="dxa"/>
          </w:tcPr>
          <w:p w14:paraId="7E98F2C7" w14:textId="2722FD8D" w:rsidR="00785EE6" w:rsidRDefault="001E2C60" w:rsidP="005B2215">
            <w:r w:rsidRPr="001E2C60">
              <w:t xml:space="preserve">50% of eligible costs, up to </w:t>
            </w:r>
            <w:r w:rsidR="594BFFB5">
              <w:t xml:space="preserve">three </w:t>
            </w:r>
            <w:r w:rsidRPr="001E2C60">
              <w:t xml:space="preserve">eighths (3/8) of the college’s biennial URF allocation, applied to the combined total of all </w:t>
            </w:r>
            <w:r w:rsidRPr="001E2C60">
              <w:lastRenderedPageBreak/>
              <w:t>emergency projects in the biennium</w:t>
            </w:r>
          </w:p>
        </w:tc>
        <w:tc>
          <w:tcPr>
            <w:tcW w:w="3117" w:type="dxa"/>
          </w:tcPr>
          <w:p w14:paraId="4CA6C0D7" w14:textId="40C56C4B" w:rsidR="00785EE6" w:rsidRDefault="008575B3" w:rsidP="005B2215">
            <w:r>
              <w:lastRenderedPageBreak/>
              <w:t>Remaining eligible costs</w:t>
            </w:r>
            <w:r w:rsidR="001E2C60">
              <w:t>,</w:t>
            </w:r>
            <w:r>
              <w:t xml:space="preserve"> up to $500,000</w:t>
            </w:r>
            <w:r w:rsidR="004C14DC">
              <w:t xml:space="preserve"> per project</w:t>
            </w:r>
          </w:p>
        </w:tc>
      </w:tr>
    </w:tbl>
    <w:p w14:paraId="5A739B69" w14:textId="3A5E2106" w:rsidR="00844553" w:rsidRPr="00844553" w:rsidRDefault="00FB6DCA" w:rsidP="00844553">
      <w:r>
        <w:t>*</w:t>
      </w:r>
      <w:r w:rsidR="00844553" w:rsidRPr="00844553">
        <w:rPr>
          <w:rFonts w:ascii="Segoe UI" w:eastAsia="Times New Roman" w:hAnsi="Segoe UI" w:cs="Segoe UI"/>
          <w:kern w:val="0"/>
          <w:sz w:val="21"/>
          <w:szCs w:val="21"/>
          <w14:ligatures w14:val="none"/>
        </w:rPr>
        <w:t xml:space="preserve"> </w:t>
      </w:r>
      <w:r w:rsidR="00844553" w:rsidRPr="00D02176">
        <w:rPr>
          <w:sz w:val="22"/>
          <w:szCs w:val="22"/>
        </w:rPr>
        <w:t xml:space="preserve">A college may be required to contribute more than </w:t>
      </w:r>
      <w:r w:rsidR="6B99612D" w:rsidRPr="00D02176">
        <w:rPr>
          <w:sz w:val="22"/>
          <w:szCs w:val="22"/>
        </w:rPr>
        <w:t>one-</w:t>
      </w:r>
      <w:r w:rsidR="00844553" w:rsidRPr="00D02176">
        <w:rPr>
          <w:sz w:val="22"/>
          <w:szCs w:val="22"/>
        </w:rPr>
        <w:t xml:space="preserve">third (1/3) or </w:t>
      </w:r>
      <w:r w:rsidR="783A7B97" w:rsidRPr="00D02176">
        <w:rPr>
          <w:sz w:val="22"/>
          <w:szCs w:val="22"/>
        </w:rPr>
        <w:t xml:space="preserve">three </w:t>
      </w:r>
      <w:r w:rsidR="00844553" w:rsidRPr="00D02176">
        <w:rPr>
          <w:sz w:val="22"/>
          <w:szCs w:val="22"/>
        </w:rPr>
        <w:t>eighths (3/8) of its biennial URF allocation when the SBCTC Emergency Reserve contribution reaches the maximum</w:t>
      </w:r>
      <w:r w:rsidR="00844553" w:rsidRPr="00D02176">
        <w:rPr>
          <w:sz w:val="22"/>
          <w:szCs w:val="22"/>
        </w:rPr>
        <w:noBreakHyphen/>
        <w:t xml:space="preserve"> allowable amount of $500,000 for a given emergency project.</w:t>
      </w:r>
    </w:p>
    <w:p w14:paraId="51624A29" w14:textId="5BA47403" w:rsidR="00695AAB" w:rsidRDefault="007306EB" w:rsidP="007306EB">
      <w:pPr>
        <w:pStyle w:val="Heading3"/>
      </w:pPr>
      <w:r>
        <w:t>Limitations</w:t>
      </w:r>
    </w:p>
    <w:p w14:paraId="25F18481" w14:textId="0F14D305" w:rsidR="00ED2D26" w:rsidRPr="00ED2D26" w:rsidRDefault="00ED2D26" w:rsidP="00ED2D26">
      <w:r w:rsidRPr="00ED2D26">
        <w:t xml:space="preserve">Emergency Pool funding shall be provided for qualifying emergency repairs with a minimum </w:t>
      </w:r>
      <w:r w:rsidR="002B6BC4">
        <w:t>SBCTC share</w:t>
      </w:r>
      <w:r w:rsidRPr="00ED2D26">
        <w:t xml:space="preserve"> of $25,000 and a maximum SBCTC Emergency Pool allocation of $500,000 per event.</w:t>
      </w:r>
    </w:p>
    <w:p w14:paraId="435FB1CA" w14:textId="77777777" w:rsidR="0022378C" w:rsidRDefault="0022378C" w:rsidP="0022378C">
      <w:r>
        <w:t>Emergency repair with a total cost of five percent or less of the biennial URF allocation to the college will be ineligible.</w:t>
      </w:r>
    </w:p>
    <w:p w14:paraId="70CFCDAB" w14:textId="29D3B7CD" w:rsidR="007306EB" w:rsidRDefault="00AF3DE1" w:rsidP="00CB6AD5">
      <w:r w:rsidRPr="00AF3DE1">
        <w:t xml:space="preserve">When an emergency repair requires total construction costs that exceed the $500,000 Emergency Pool allocation limit, SBCTC may limit Emergency Pool participation to that amount and, only if warranted by the circumstances, consider whether remaining work should be addressed through </w:t>
      </w:r>
      <w:r w:rsidR="00E101F1">
        <w:t xml:space="preserve">college reserves or </w:t>
      </w:r>
      <w:r w:rsidRPr="00AF3DE1">
        <w:t xml:space="preserve">a future capital </w:t>
      </w:r>
      <w:r w:rsidR="008078F3">
        <w:t>request</w:t>
      </w:r>
      <w:r w:rsidRPr="00AF3DE1">
        <w:t>.</w:t>
      </w:r>
    </w:p>
    <w:p w14:paraId="2AB2B3DC" w14:textId="77777777" w:rsidR="008078F3" w:rsidRDefault="008078F3" w:rsidP="00CB6AD5"/>
    <w:p w14:paraId="61CB930E" w14:textId="7F557776" w:rsidR="00CB6AD5" w:rsidRPr="00CB6AD5" w:rsidRDefault="00CB6AD5" w:rsidP="00D11B18">
      <w:pPr>
        <w:pStyle w:val="Heading2"/>
      </w:pPr>
      <w:r w:rsidRPr="00CB6AD5">
        <w:t>6.60.</w:t>
      </w:r>
      <w:r w:rsidR="00461150">
        <w:t>2</w:t>
      </w:r>
      <w:r w:rsidRPr="00CB6AD5">
        <w:t>0 Hazardous Materials Mitigation and Abatement Pool</w:t>
      </w:r>
    </w:p>
    <w:p w14:paraId="620CF5C5" w14:textId="150EA295" w:rsidR="00BC7B50" w:rsidRPr="00BC7B50" w:rsidRDefault="00BC7B50" w:rsidP="00BC7B50">
      <w:r w:rsidRPr="00BC7B50">
        <w:t>The Hazardous Materials Mitigation and Abatement Pool</w:t>
      </w:r>
      <w:r w:rsidR="00CD036D">
        <w:t xml:space="preserve"> </w:t>
      </w:r>
      <w:proofErr w:type="gramStart"/>
      <w:r w:rsidRPr="00BC7B50">
        <w:t>support</w:t>
      </w:r>
      <w:r w:rsidR="00D16417">
        <w:t>s</w:t>
      </w:r>
      <w:proofErr w:type="gramEnd"/>
      <w:r w:rsidRPr="00BC7B50">
        <w:t xml:space="preserve"> colleges in addressing unanticipated hazardous conditions that pose a documented risk to human health or safety and require mitigation or abatement to maintain facility usability.</w:t>
      </w:r>
    </w:p>
    <w:p w14:paraId="263D7D41" w14:textId="0FBE8E8F" w:rsidR="00BC7B50" w:rsidRPr="00BC7B50" w:rsidRDefault="00BC7B50" w:rsidP="00BC7B50">
      <w:r w:rsidRPr="00914F92">
        <w:t xml:space="preserve">This pool is intended to address hazardous materials conditions that are discovered unexpectedly after the completion of </w:t>
      </w:r>
      <w:r w:rsidR="63CC6862">
        <w:t xml:space="preserve">good </w:t>
      </w:r>
      <w:r w:rsidRPr="00914F92">
        <w:t>faith surveys, assessments, or other reasonable due</w:t>
      </w:r>
      <w:r w:rsidR="5DDC123D">
        <w:t xml:space="preserve"> </w:t>
      </w:r>
      <w:r w:rsidRPr="00914F92">
        <w:t xml:space="preserve">diligence, and that could not reasonably have been identified, fully scoped, or budgeted during normal project planning or capital development processes. </w:t>
      </w:r>
      <w:r w:rsidR="00E059D5" w:rsidRPr="00914F92">
        <w:t xml:space="preserve">Good faith </w:t>
      </w:r>
      <w:r w:rsidR="005B78E5">
        <w:t>hazardous material</w:t>
      </w:r>
      <w:r w:rsidR="00574F1D">
        <w:t>s</w:t>
      </w:r>
      <w:r w:rsidR="005B78E5">
        <w:t xml:space="preserve"> </w:t>
      </w:r>
      <w:r w:rsidR="00E059D5" w:rsidRPr="00914F92">
        <w:t>survey</w:t>
      </w:r>
      <w:r w:rsidR="00C77429">
        <w:t>s conducted during project planning</w:t>
      </w:r>
      <w:r w:rsidR="00E059D5" w:rsidRPr="00914F92">
        <w:t xml:space="preserve"> should be included </w:t>
      </w:r>
      <w:r w:rsidR="00574F1D">
        <w:t>in</w:t>
      </w:r>
      <w:r w:rsidR="00E059D5" w:rsidRPr="00914F92">
        <w:t xml:space="preserve"> project bid documents</w:t>
      </w:r>
      <w:r w:rsidR="007616ED" w:rsidRPr="00914F92">
        <w:t xml:space="preserve">. </w:t>
      </w:r>
      <w:r w:rsidRPr="00914F92">
        <w:t>When hazardous materials conditions are known in advance or can reasonably be anticipated, colleges are expected to plan for and include associated mitigation or abatement costs within project budgets or other available funding sources.</w:t>
      </w:r>
    </w:p>
    <w:p w14:paraId="6977F65B" w14:textId="42C3FAA9" w:rsidR="00CB6AD5" w:rsidRPr="00CB6AD5" w:rsidRDefault="00CB6AD5" w:rsidP="005E4D72">
      <w:pPr>
        <w:pStyle w:val="Heading3"/>
      </w:pPr>
      <w:r w:rsidRPr="00CB6AD5">
        <w:t>Eligible Conditions</w:t>
      </w:r>
    </w:p>
    <w:p w14:paraId="141ABED1" w14:textId="4CC6BAED" w:rsidR="00D1612D" w:rsidRPr="00D1612D" w:rsidRDefault="00D1612D" w:rsidP="00D1612D">
      <w:r w:rsidRPr="00D1612D">
        <w:t xml:space="preserve">Eligible activities may include mitigation or abatement related to unanticipated hazardous materials or environmental conditions—such as </w:t>
      </w:r>
      <w:r w:rsidR="32070AD3">
        <w:t xml:space="preserve">asbestos </w:t>
      </w:r>
      <w:r w:rsidRPr="00D1612D">
        <w:t xml:space="preserve">containing materials, </w:t>
      </w:r>
      <w:r w:rsidR="41DF127E">
        <w:t xml:space="preserve">lead </w:t>
      </w:r>
      <w:r w:rsidRPr="00D1612D">
        <w:t>based paint or contaminated soils, mold resulting from concealed moisture intrusion, polychlorinated biphenyls (PCBs), mercury, radon</w:t>
      </w:r>
      <w:r w:rsidR="008677D6">
        <w:rPr>
          <w:rStyle w:val="EndnoteReference"/>
        </w:rPr>
        <w:endnoteReference w:id="2"/>
      </w:r>
      <w:r w:rsidRPr="00D1612D">
        <w:t>, or other indoor air quality hazards—only when the condition is discovered unexpectedly, and when:</w:t>
      </w:r>
    </w:p>
    <w:p w14:paraId="1110122A" w14:textId="3C0B0E51" w:rsidR="00D1612D" w:rsidRDefault="00D1612D" w:rsidP="00D1612D">
      <w:pPr>
        <w:pStyle w:val="ListParagraph"/>
        <w:numPr>
          <w:ilvl w:val="0"/>
          <w:numId w:val="9"/>
        </w:numPr>
      </w:pPr>
      <w:r w:rsidRPr="00D1612D">
        <w:lastRenderedPageBreak/>
        <w:t xml:space="preserve">The condition is identified after the completion of </w:t>
      </w:r>
      <w:r w:rsidR="3B5359E4">
        <w:t xml:space="preserve">good </w:t>
      </w:r>
      <w:r w:rsidRPr="00D1612D">
        <w:t xml:space="preserve">faith surveys, assessments, or other reasonable </w:t>
      </w:r>
      <w:r w:rsidR="13C9D5FF">
        <w:t xml:space="preserve">due </w:t>
      </w:r>
      <w:r w:rsidRPr="00D1612D">
        <w:t>diligence efforts, through testing, monitoring, demolition, construction, or other intrusive investigation; and</w:t>
      </w:r>
    </w:p>
    <w:p w14:paraId="61170601" w14:textId="7E5153FD" w:rsidR="00D1612D" w:rsidRPr="00D1612D" w:rsidRDefault="00D1612D" w:rsidP="00D1612D">
      <w:pPr>
        <w:pStyle w:val="ListParagraph"/>
        <w:numPr>
          <w:ilvl w:val="0"/>
          <w:numId w:val="9"/>
        </w:numPr>
      </w:pPr>
      <w:r w:rsidRPr="00D1612D">
        <w:t>Timely mitigation or abatement is necessary to protect occupants or maintain building operations.</w:t>
      </w:r>
    </w:p>
    <w:p w14:paraId="0F071B30" w14:textId="6D75AAF2" w:rsidR="00CB6AD5" w:rsidRPr="00CB6AD5" w:rsidRDefault="002153A1" w:rsidP="005E4D72">
      <w:pPr>
        <w:pStyle w:val="Heading3"/>
      </w:pPr>
      <w:r>
        <w:t>Exclusions</w:t>
      </w:r>
    </w:p>
    <w:p w14:paraId="1EAAB26B" w14:textId="77777777" w:rsidR="00CB6AD5" w:rsidRPr="00CB6AD5" w:rsidRDefault="00CB6AD5" w:rsidP="00CB6AD5">
      <w:r w:rsidRPr="00CB6AD5">
        <w:t>Hazardous materials mitigation and abatement pool funding is not intended for:</w:t>
      </w:r>
    </w:p>
    <w:p w14:paraId="41A49EE6" w14:textId="5F608157" w:rsidR="00840490" w:rsidRDefault="00604438" w:rsidP="00CB6AD5">
      <w:pPr>
        <w:numPr>
          <w:ilvl w:val="0"/>
          <w:numId w:val="6"/>
        </w:numPr>
      </w:pPr>
      <w:r>
        <w:t xml:space="preserve">Good-faith </w:t>
      </w:r>
      <w:r w:rsidR="007035AF">
        <w:t>hazardous material</w:t>
      </w:r>
      <w:r w:rsidR="00495212">
        <w:t xml:space="preserve">s </w:t>
      </w:r>
      <w:r w:rsidR="006E663C">
        <w:t xml:space="preserve">testing </w:t>
      </w:r>
      <w:r w:rsidR="00495212">
        <w:t xml:space="preserve">associated with </w:t>
      </w:r>
      <w:r w:rsidR="00C82B71">
        <w:t xml:space="preserve">project </w:t>
      </w:r>
      <w:r w:rsidR="00495212">
        <w:t xml:space="preserve">planning or </w:t>
      </w:r>
      <w:r w:rsidR="00C82B71">
        <w:t>development</w:t>
      </w:r>
      <w:r w:rsidR="00495212">
        <w:t xml:space="preserve">; </w:t>
      </w:r>
    </w:p>
    <w:p w14:paraId="158B6C45" w14:textId="32369D5B" w:rsidR="00CB6AD5" w:rsidRPr="00CB6AD5" w:rsidRDefault="00AE2E3E" w:rsidP="00CB6AD5">
      <w:pPr>
        <w:numPr>
          <w:ilvl w:val="0"/>
          <w:numId w:val="6"/>
        </w:numPr>
      </w:pPr>
      <w:r>
        <w:t>R</w:t>
      </w:r>
      <w:r w:rsidR="00CB6AD5" w:rsidRPr="00CB6AD5">
        <w:t>outine testing, monitoring, or preventive maintenance activities;</w:t>
      </w:r>
    </w:p>
    <w:p w14:paraId="20C54BCA" w14:textId="77777777" w:rsidR="00CB6AD5" w:rsidRPr="00CB6AD5" w:rsidRDefault="00CB6AD5" w:rsidP="00CB6AD5">
      <w:pPr>
        <w:numPr>
          <w:ilvl w:val="0"/>
          <w:numId w:val="6"/>
        </w:numPr>
      </w:pPr>
      <w:r w:rsidRPr="00CB6AD5">
        <w:t>Known or previously documented hazardous conditions that could reasonably have been incorporated into a planned capital project or maintenance strategy; or</w:t>
      </w:r>
    </w:p>
    <w:p w14:paraId="4BF94B1D" w14:textId="650D4EF1" w:rsidR="00CB6AD5" w:rsidRPr="00CB6AD5" w:rsidRDefault="00CB6AD5" w:rsidP="00CB6AD5">
      <w:pPr>
        <w:numPr>
          <w:ilvl w:val="0"/>
          <w:numId w:val="6"/>
        </w:numPr>
      </w:pPr>
      <w:r w:rsidRPr="00CB6AD5">
        <w:t xml:space="preserve">Augmenting other </w:t>
      </w:r>
      <w:r w:rsidR="69B7AC70">
        <w:t xml:space="preserve">state </w:t>
      </w:r>
      <w:r w:rsidRPr="00CB6AD5">
        <w:t>funded capital projects except where the hazardous condition was not reasonably foreseeable at the time of project approval.</w:t>
      </w:r>
    </w:p>
    <w:p w14:paraId="3EBF3D6C" w14:textId="0A4E5552" w:rsidR="001F0EE3" w:rsidRDefault="001F0EE3" w:rsidP="001F0EE3">
      <w:pPr>
        <w:pStyle w:val="Heading3"/>
      </w:pPr>
      <w:r>
        <w:t>Allocation Formula</w:t>
      </w:r>
    </w:p>
    <w:p w14:paraId="764916EA" w14:textId="18931FF5" w:rsidR="00BD2175" w:rsidRDefault="0093100A">
      <w:r>
        <w:t xml:space="preserve">100% of the cost of </w:t>
      </w:r>
      <w:r w:rsidRPr="009A0594">
        <w:t>mitigation</w:t>
      </w:r>
      <w:r w:rsidR="001E130A">
        <w:t xml:space="preserve"> to a maximum of $500,000 per </w:t>
      </w:r>
      <w:r w:rsidR="003D2FC4">
        <w:t>occurrence</w:t>
      </w:r>
      <w:r w:rsidR="00AD3B1E">
        <w:t xml:space="preserve">, including the cost of testing once hazardous materials have been </w:t>
      </w:r>
      <w:r w:rsidR="00B83B33">
        <w:t>determine</w:t>
      </w:r>
      <w:r w:rsidR="00C22122">
        <w:t>d</w:t>
      </w:r>
      <w:r w:rsidR="003D2FC4">
        <w:t xml:space="preserve">. </w:t>
      </w:r>
    </w:p>
    <w:p w14:paraId="7E94383A" w14:textId="72561F37" w:rsidR="00BD2175" w:rsidRDefault="00BD2175" w:rsidP="001F0EE3">
      <w:pPr>
        <w:pStyle w:val="Heading3"/>
      </w:pPr>
      <w:r>
        <w:t>Limitations</w:t>
      </w:r>
    </w:p>
    <w:p w14:paraId="4750A588" w14:textId="4B338E02" w:rsidR="00883125" w:rsidRDefault="00883125" w:rsidP="00883125">
      <w:r w:rsidRPr="00883125">
        <w:t xml:space="preserve">Allocations from the Hazardous Materials Mitigation and Abatement Pool shall be </w:t>
      </w:r>
      <w:r w:rsidR="001F0EE3">
        <w:t xml:space="preserve">at least </w:t>
      </w:r>
      <w:r w:rsidRPr="00883125">
        <w:t>$25,000 and no more than $500,000 per event and may fund up to 100 percent of eligible costs.</w:t>
      </w:r>
    </w:p>
    <w:p w14:paraId="2FCFDFD3" w14:textId="77777777" w:rsidR="00BE58FD" w:rsidRPr="00883125" w:rsidRDefault="00BE58FD" w:rsidP="00883125"/>
    <w:p w14:paraId="796A9630" w14:textId="63680804" w:rsidR="00D17679" w:rsidRDefault="00D17679">
      <w:r>
        <w:br w:type="page"/>
      </w:r>
    </w:p>
    <w:p w14:paraId="5AF2277B" w14:textId="77777777" w:rsidR="00D17679" w:rsidRPr="00695AAB" w:rsidRDefault="00D17679"/>
    <w:sectPr w:rsidR="00D17679" w:rsidRPr="00695AA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D195" w14:textId="77777777" w:rsidR="008F53C9" w:rsidRDefault="008F53C9">
      <w:pPr>
        <w:spacing w:after="0" w:line="240" w:lineRule="auto"/>
      </w:pPr>
      <w:r>
        <w:separator/>
      </w:r>
    </w:p>
  </w:endnote>
  <w:endnote w:type="continuationSeparator" w:id="0">
    <w:p w14:paraId="0423CC25" w14:textId="77777777" w:rsidR="008F53C9" w:rsidRDefault="008F53C9">
      <w:pPr>
        <w:spacing w:after="0" w:line="240" w:lineRule="auto"/>
      </w:pPr>
      <w:r>
        <w:continuationSeparator/>
      </w:r>
    </w:p>
  </w:endnote>
  <w:endnote w:id="1">
    <w:p w14:paraId="1DADC3DD" w14:textId="3938C64C" w:rsidR="001B1B14" w:rsidRDefault="001B1B14">
      <w:pPr>
        <w:pStyle w:val="EndnoteText"/>
      </w:pPr>
      <w:r>
        <w:rPr>
          <w:rStyle w:val="EndnoteReference"/>
        </w:rPr>
        <w:endnoteRef/>
      </w:r>
      <w:r>
        <w:t xml:space="preserve"> </w:t>
      </w:r>
      <w:r w:rsidR="00856712" w:rsidRPr="00856712">
        <w:t>Catastrophic loss or failure often presents an immediate threat to life safety or property. In such circumstances, work to repair or restore the affected asset may be initiated rapidly following a request by a college president for a Declaration of Emergency from the Department of Enterprise Services (DES). A declaration of emergency enables an expedited response by allowing certain procurement and contracting requirements, including standard A/E selection and public works bidding processes, to be bypassed when necessary to address the emergency.</w:t>
      </w:r>
    </w:p>
    <w:p w14:paraId="023B7F4C" w14:textId="77777777" w:rsidR="00D17679" w:rsidRDefault="00D17679">
      <w:pPr>
        <w:pStyle w:val="EndnoteText"/>
      </w:pPr>
    </w:p>
  </w:endnote>
  <w:endnote w:id="2">
    <w:p w14:paraId="53F11942" w14:textId="70A9F1F2" w:rsidR="008677D6" w:rsidRPr="008677D6" w:rsidRDefault="008677D6" w:rsidP="008677D6">
      <w:pPr>
        <w:spacing w:after="0" w:line="240" w:lineRule="auto"/>
        <w:rPr>
          <w:sz w:val="20"/>
          <w:szCs w:val="20"/>
        </w:rPr>
      </w:pPr>
      <w:r>
        <w:rPr>
          <w:rStyle w:val="EndnoteReference"/>
        </w:rPr>
        <w:endnoteRef/>
      </w:r>
      <w:r>
        <w:t xml:space="preserve"> </w:t>
      </w:r>
      <w:r w:rsidRPr="008677D6">
        <w:rPr>
          <w:sz w:val="20"/>
          <w:szCs w:val="20"/>
        </w:rPr>
        <w:t>Elevated radon levels requiring mitigation may be considered eligible when exceedances of established health or safety action thresholds are identified through testing or monitoring and could not reasonably have been anticipated or budgeted in advance. This recognizes that some colleges, including those located in areas with known radon potential, conduct ongoing monitoring and that mitigation may be required only when unexpected exceedances are identified.</w:t>
      </w:r>
    </w:p>
    <w:p w14:paraId="7EFDE13F" w14:textId="6362DE34" w:rsidR="008677D6" w:rsidRDefault="008677D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92DE5" w14:textId="77777777" w:rsidR="008F53C9" w:rsidRDefault="008F53C9">
      <w:pPr>
        <w:spacing w:after="0" w:line="240" w:lineRule="auto"/>
      </w:pPr>
      <w:r>
        <w:separator/>
      </w:r>
    </w:p>
  </w:footnote>
  <w:footnote w:type="continuationSeparator" w:id="0">
    <w:p w14:paraId="6BF038E4" w14:textId="77777777" w:rsidR="008F53C9" w:rsidRDefault="008F5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C1ABD" w14:textId="59C5AFA0" w:rsidR="007E4BCF" w:rsidRDefault="007E4B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E2152"/>
    <w:multiLevelType w:val="multilevel"/>
    <w:tmpl w:val="F14E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2F282B"/>
    <w:multiLevelType w:val="multilevel"/>
    <w:tmpl w:val="65F2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8178A"/>
    <w:multiLevelType w:val="multilevel"/>
    <w:tmpl w:val="89AE4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6C28A1"/>
    <w:multiLevelType w:val="multilevel"/>
    <w:tmpl w:val="C4C0A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B5F65"/>
    <w:multiLevelType w:val="multilevel"/>
    <w:tmpl w:val="BB6E1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CA3B53"/>
    <w:multiLevelType w:val="hybridMultilevel"/>
    <w:tmpl w:val="18945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0A2795"/>
    <w:multiLevelType w:val="multilevel"/>
    <w:tmpl w:val="7494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1C4957"/>
    <w:multiLevelType w:val="multilevel"/>
    <w:tmpl w:val="AECA1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730AB5"/>
    <w:multiLevelType w:val="multilevel"/>
    <w:tmpl w:val="EBA6D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115A17"/>
    <w:multiLevelType w:val="multilevel"/>
    <w:tmpl w:val="C344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CE4EC4"/>
    <w:multiLevelType w:val="hybridMultilevel"/>
    <w:tmpl w:val="16CC0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4519840">
    <w:abstractNumId w:val="9"/>
  </w:num>
  <w:num w:numId="2" w16cid:durableId="241333857">
    <w:abstractNumId w:val="6"/>
  </w:num>
  <w:num w:numId="3" w16cid:durableId="1668556692">
    <w:abstractNumId w:val="7"/>
  </w:num>
  <w:num w:numId="4" w16cid:durableId="1732272131">
    <w:abstractNumId w:val="1"/>
  </w:num>
  <w:num w:numId="5" w16cid:durableId="653722088">
    <w:abstractNumId w:val="0"/>
  </w:num>
  <w:num w:numId="6" w16cid:durableId="1602255465">
    <w:abstractNumId w:val="8"/>
  </w:num>
  <w:num w:numId="7" w16cid:durableId="1628122261">
    <w:abstractNumId w:val="4"/>
  </w:num>
  <w:num w:numId="8" w16cid:durableId="792744963">
    <w:abstractNumId w:val="5"/>
  </w:num>
  <w:num w:numId="9" w16cid:durableId="1542862503">
    <w:abstractNumId w:val="10"/>
  </w:num>
  <w:num w:numId="10" w16cid:durableId="1900944943">
    <w:abstractNumId w:val="3"/>
  </w:num>
  <w:num w:numId="11" w16cid:durableId="207854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AD5"/>
    <w:rsid w:val="00001960"/>
    <w:rsid w:val="000106F7"/>
    <w:rsid w:val="00025A03"/>
    <w:rsid w:val="0003335B"/>
    <w:rsid w:val="000343B2"/>
    <w:rsid w:val="00051B3E"/>
    <w:rsid w:val="00053363"/>
    <w:rsid w:val="0005785F"/>
    <w:rsid w:val="00061CC6"/>
    <w:rsid w:val="00077CEC"/>
    <w:rsid w:val="00085005"/>
    <w:rsid w:val="00087AE9"/>
    <w:rsid w:val="00090E94"/>
    <w:rsid w:val="00096C85"/>
    <w:rsid w:val="0009777A"/>
    <w:rsid w:val="000A23EA"/>
    <w:rsid w:val="000A4DCE"/>
    <w:rsid w:val="000C46A5"/>
    <w:rsid w:val="000C697F"/>
    <w:rsid w:val="000D3571"/>
    <w:rsid w:val="000E15BA"/>
    <w:rsid w:val="000E5288"/>
    <w:rsid w:val="001162CE"/>
    <w:rsid w:val="0012105F"/>
    <w:rsid w:val="00130102"/>
    <w:rsid w:val="001433A8"/>
    <w:rsid w:val="00145145"/>
    <w:rsid w:val="00146BB0"/>
    <w:rsid w:val="00155480"/>
    <w:rsid w:val="001613EA"/>
    <w:rsid w:val="00163BE9"/>
    <w:rsid w:val="00171B13"/>
    <w:rsid w:val="00180365"/>
    <w:rsid w:val="00184C15"/>
    <w:rsid w:val="00190DFE"/>
    <w:rsid w:val="00197A51"/>
    <w:rsid w:val="001A5407"/>
    <w:rsid w:val="001A7283"/>
    <w:rsid w:val="001B1B14"/>
    <w:rsid w:val="001B43EF"/>
    <w:rsid w:val="001C59B1"/>
    <w:rsid w:val="001D4255"/>
    <w:rsid w:val="001E130A"/>
    <w:rsid w:val="001E2C60"/>
    <w:rsid w:val="001E7C12"/>
    <w:rsid w:val="001F0EE3"/>
    <w:rsid w:val="001F2F16"/>
    <w:rsid w:val="001F38DA"/>
    <w:rsid w:val="001F6829"/>
    <w:rsid w:val="001F7A78"/>
    <w:rsid w:val="00210F9A"/>
    <w:rsid w:val="002123F0"/>
    <w:rsid w:val="0021432A"/>
    <w:rsid w:val="002153A1"/>
    <w:rsid w:val="0022378C"/>
    <w:rsid w:val="0022585C"/>
    <w:rsid w:val="002316C6"/>
    <w:rsid w:val="0024514C"/>
    <w:rsid w:val="00261DF5"/>
    <w:rsid w:val="00262D3A"/>
    <w:rsid w:val="00272A38"/>
    <w:rsid w:val="002753F0"/>
    <w:rsid w:val="00291E2C"/>
    <w:rsid w:val="00292CAF"/>
    <w:rsid w:val="002932A2"/>
    <w:rsid w:val="002A735A"/>
    <w:rsid w:val="002B371F"/>
    <w:rsid w:val="002B6BC4"/>
    <w:rsid w:val="002C328A"/>
    <w:rsid w:val="002D1DE1"/>
    <w:rsid w:val="002D2D6F"/>
    <w:rsid w:val="002E7967"/>
    <w:rsid w:val="002F4B76"/>
    <w:rsid w:val="002F6DAC"/>
    <w:rsid w:val="00311E98"/>
    <w:rsid w:val="00330E29"/>
    <w:rsid w:val="00336A44"/>
    <w:rsid w:val="00344CC5"/>
    <w:rsid w:val="00351079"/>
    <w:rsid w:val="00363EA8"/>
    <w:rsid w:val="00365F36"/>
    <w:rsid w:val="00366F92"/>
    <w:rsid w:val="00390BF8"/>
    <w:rsid w:val="003A3683"/>
    <w:rsid w:val="003B2016"/>
    <w:rsid w:val="003B65CA"/>
    <w:rsid w:val="003D2973"/>
    <w:rsid w:val="003D2FC4"/>
    <w:rsid w:val="003D5FFA"/>
    <w:rsid w:val="003E0190"/>
    <w:rsid w:val="003E42F7"/>
    <w:rsid w:val="00446207"/>
    <w:rsid w:val="00453513"/>
    <w:rsid w:val="00457809"/>
    <w:rsid w:val="00461150"/>
    <w:rsid w:val="00461FE4"/>
    <w:rsid w:val="00471921"/>
    <w:rsid w:val="00486299"/>
    <w:rsid w:val="00495212"/>
    <w:rsid w:val="004C14DC"/>
    <w:rsid w:val="004C46DD"/>
    <w:rsid w:val="004D7472"/>
    <w:rsid w:val="004E31D8"/>
    <w:rsid w:val="004F3606"/>
    <w:rsid w:val="00505047"/>
    <w:rsid w:val="0054068B"/>
    <w:rsid w:val="005419FC"/>
    <w:rsid w:val="00545D45"/>
    <w:rsid w:val="005472A9"/>
    <w:rsid w:val="00554970"/>
    <w:rsid w:val="005647DD"/>
    <w:rsid w:val="005726F4"/>
    <w:rsid w:val="00574F1D"/>
    <w:rsid w:val="005753BA"/>
    <w:rsid w:val="00592A0A"/>
    <w:rsid w:val="005B2215"/>
    <w:rsid w:val="005B47D0"/>
    <w:rsid w:val="005B78E5"/>
    <w:rsid w:val="005C5168"/>
    <w:rsid w:val="005C51C6"/>
    <w:rsid w:val="005D05EF"/>
    <w:rsid w:val="005D659B"/>
    <w:rsid w:val="005E4D72"/>
    <w:rsid w:val="005F0959"/>
    <w:rsid w:val="005F5EFC"/>
    <w:rsid w:val="00601174"/>
    <w:rsid w:val="00604438"/>
    <w:rsid w:val="0060760B"/>
    <w:rsid w:val="006151D3"/>
    <w:rsid w:val="00632374"/>
    <w:rsid w:val="00634D77"/>
    <w:rsid w:val="00646132"/>
    <w:rsid w:val="00647810"/>
    <w:rsid w:val="006574DB"/>
    <w:rsid w:val="006819E3"/>
    <w:rsid w:val="00686813"/>
    <w:rsid w:val="00687A8D"/>
    <w:rsid w:val="00692F26"/>
    <w:rsid w:val="00695AAB"/>
    <w:rsid w:val="006A0D27"/>
    <w:rsid w:val="006A3A19"/>
    <w:rsid w:val="006A4341"/>
    <w:rsid w:val="006C48B2"/>
    <w:rsid w:val="006C7DFB"/>
    <w:rsid w:val="006D027C"/>
    <w:rsid w:val="006D2B24"/>
    <w:rsid w:val="006E202A"/>
    <w:rsid w:val="006E2D32"/>
    <w:rsid w:val="006E663C"/>
    <w:rsid w:val="006F1D3C"/>
    <w:rsid w:val="007035AF"/>
    <w:rsid w:val="00705BA4"/>
    <w:rsid w:val="007148EE"/>
    <w:rsid w:val="007306EB"/>
    <w:rsid w:val="0073166E"/>
    <w:rsid w:val="007416F1"/>
    <w:rsid w:val="00745C43"/>
    <w:rsid w:val="00747491"/>
    <w:rsid w:val="007616ED"/>
    <w:rsid w:val="00776BC8"/>
    <w:rsid w:val="00784F9F"/>
    <w:rsid w:val="00785EE6"/>
    <w:rsid w:val="007863F5"/>
    <w:rsid w:val="007868F7"/>
    <w:rsid w:val="007A7D48"/>
    <w:rsid w:val="007B19A4"/>
    <w:rsid w:val="007B6F0F"/>
    <w:rsid w:val="007C0A59"/>
    <w:rsid w:val="007C65AE"/>
    <w:rsid w:val="007D152A"/>
    <w:rsid w:val="007D635C"/>
    <w:rsid w:val="007E4BCF"/>
    <w:rsid w:val="0080004C"/>
    <w:rsid w:val="008078F3"/>
    <w:rsid w:val="00807E88"/>
    <w:rsid w:val="008118A7"/>
    <w:rsid w:val="0081266D"/>
    <w:rsid w:val="00840490"/>
    <w:rsid w:val="00844087"/>
    <w:rsid w:val="00844553"/>
    <w:rsid w:val="00856712"/>
    <w:rsid w:val="008575B3"/>
    <w:rsid w:val="0086134F"/>
    <w:rsid w:val="008677D6"/>
    <w:rsid w:val="00873366"/>
    <w:rsid w:val="008746BF"/>
    <w:rsid w:val="00883125"/>
    <w:rsid w:val="00887DE1"/>
    <w:rsid w:val="008A35A8"/>
    <w:rsid w:val="008C0CDC"/>
    <w:rsid w:val="008C0F31"/>
    <w:rsid w:val="008C3833"/>
    <w:rsid w:val="008D1717"/>
    <w:rsid w:val="008D5B45"/>
    <w:rsid w:val="008D7177"/>
    <w:rsid w:val="008F53C9"/>
    <w:rsid w:val="008F621F"/>
    <w:rsid w:val="00902E8E"/>
    <w:rsid w:val="00912D1A"/>
    <w:rsid w:val="00914616"/>
    <w:rsid w:val="00914F92"/>
    <w:rsid w:val="00927104"/>
    <w:rsid w:val="0093100A"/>
    <w:rsid w:val="009702DB"/>
    <w:rsid w:val="00984B59"/>
    <w:rsid w:val="009A0594"/>
    <w:rsid w:val="009A20F2"/>
    <w:rsid w:val="009A6608"/>
    <w:rsid w:val="009D02F2"/>
    <w:rsid w:val="009D4D61"/>
    <w:rsid w:val="009E3580"/>
    <w:rsid w:val="009E55F5"/>
    <w:rsid w:val="009E6E47"/>
    <w:rsid w:val="009F06C3"/>
    <w:rsid w:val="009F569D"/>
    <w:rsid w:val="009F67E6"/>
    <w:rsid w:val="00A01D72"/>
    <w:rsid w:val="00A0582E"/>
    <w:rsid w:val="00A0675B"/>
    <w:rsid w:val="00A13993"/>
    <w:rsid w:val="00A271A2"/>
    <w:rsid w:val="00A27958"/>
    <w:rsid w:val="00A421A6"/>
    <w:rsid w:val="00A56674"/>
    <w:rsid w:val="00A57865"/>
    <w:rsid w:val="00A7240E"/>
    <w:rsid w:val="00A74A45"/>
    <w:rsid w:val="00A948E3"/>
    <w:rsid w:val="00AA101E"/>
    <w:rsid w:val="00AB19CF"/>
    <w:rsid w:val="00AC137B"/>
    <w:rsid w:val="00AC5D0D"/>
    <w:rsid w:val="00AC763B"/>
    <w:rsid w:val="00AD3B1E"/>
    <w:rsid w:val="00AE2E3E"/>
    <w:rsid w:val="00AF3DE1"/>
    <w:rsid w:val="00AF4960"/>
    <w:rsid w:val="00AF5B2F"/>
    <w:rsid w:val="00B0169D"/>
    <w:rsid w:val="00B11BA6"/>
    <w:rsid w:val="00B15C5B"/>
    <w:rsid w:val="00B178F7"/>
    <w:rsid w:val="00B27490"/>
    <w:rsid w:val="00B6170F"/>
    <w:rsid w:val="00B67C37"/>
    <w:rsid w:val="00B70C21"/>
    <w:rsid w:val="00B83B33"/>
    <w:rsid w:val="00BA2331"/>
    <w:rsid w:val="00BA3D28"/>
    <w:rsid w:val="00BA515D"/>
    <w:rsid w:val="00BB0E80"/>
    <w:rsid w:val="00BB4766"/>
    <w:rsid w:val="00BC250F"/>
    <w:rsid w:val="00BC7B50"/>
    <w:rsid w:val="00BD2175"/>
    <w:rsid w:val="00BD2FDE"/>
    <w:rsid w:val="00BD6BDC"/>
    <w:rsid w:val="00BE58FD"/>
    <w:rsid w:val="00BE5B54"/>
    <w:rsid w:val="00BE65AE"/>
    <w:rsid w:val="00BF2A3D"/>
    <w:rsid w:val="00C13D5A"/>
    <w:rsid w:val="00C21147"/>
    <w:rsid w:val="00C22122"/>
    <w:rsid w:val="00C2249E"/>
    <w:rsid w:val="00C232E6"/>
    <w:rsid w:val="00C26B80"/>
    <w:rsid w:val="00C35D8A"/>
    <w:rsid w:val="00C45514"/>
    <w:rsid w:val="00C57C84"/>
    <w:rsid w:val="00C61536"/>
    <w:rsid w:val="00C6316D"/>
    <w:rsid w:val="00C65764"/>
    <w:rsid w:val="00C661BB"/>
    <w:rsid w:val="00C72CE4"/>
    <w:rsid w:val="00C77429"/>
    <w:rsid w:val="00C81621"/>
    <w:rsid w:val="00C82B71"/>
    <w:rsid w:val="00C84FAF"/>
    <w:rsid w:val="00C85B97"/>
    <w:rsid w:val="00C969D7"/>
    <w:rsid w:val="00CB27DC"/>
    <w:rsid w:val="00CB644C"/>
    <w:rsid w:val="00CB6AD5"/>
    <w:rsid w:val="00CD036D"/>
    <w:rsid w:val="00CD416C"/>
    <w:rsid w:val="00CE621F"/>
    <w:rsid w:val="00CF207C"/>
    <w:rsid w:val="00D012AC"/>
    <w:rsid w:val="00D02176"/>
    <w:rsid w:val="00D026FD"/>
    <w:rsid w:val="00D041AD"/>
    <w:rsid w:val="00D10A23"/>
    <w:rsid w:val="00D11B18"/>
    <w:rsid w:val="00D1612D"/>
    <w:rsid w:val="00D16417"/>
    <w:rsid w:val="00D17679"/>
    <w:rsid w:val="00D35380"/>
    <w:rsid w:val="00D407FE"/>
    <w:rsid w:val="00D4505D"/>
    <w:rsid w:val="00D45E10"/>
    <w:rsid w:val="00D46D50"/>
    <w:rsid w:val="00D55ADC"/>
    <w:rsid w:val="00D56C3A"/>
    <w:rsid w:val="00D66A4E"/>
    <w:rsid w:val="00D71CA6"/>
    <w:rsid w:val="00D73D39"/>
    <w:rsid w:val="00D74038"/>
    <w:rsid w:val="00D835D2"/>
    <w:rsid w:val="00D854E8"/>
    <w:rsid w:val="00DA6E2A"/>
    <w:rsid w:val="00DB1286"/>
    <w:rsid w:val="00DB770D"/>
    <w:rsid w:val="00DC5B41"/>
    <w:rsid w:val="00DC6C43"/>
    <w:rsid w:val="00DC79DE"/>
    <w:rsid w:val="00DD5EA3"/>
    <w:rsid w:val="00DF1595"/>
    <w:rsid w:val="00DF40ED"/>
    <w:rsid w:val="00E02C5D"/>
    <w:rsid w:val="00E02EA2"/>
    <w:rsid w:val="00E0465F"/>
    <w:rsid w:val="00E059D5"/>
    <w:rsid w:val="00E101F1"/>
    <w:rsid w:val="00E150DD"/>
    <w:rsid w:val="00E236C0"/>
    <w:rsid w:val="00E43CE8"/>
    <w:rsid w:val="00E53032"/>
    <w:rsid w:val="00E62B9B"/>
    <w:rsid w:val="00E7282D"/>
    <w:rsid w:val="00E808A8"/>
    <w:rsid w:val="00EA4EBD"/>
    <w:rsid w:val="00EB7A15"/>
    <w:rsid w:val="00ED2D26"/>
    <w:rsid w:val="00EF0866"/>
    <w:rsid w:val="00EF7AEA"/>
    <w:rsid w:val="00F00369"/>
    <w:rsid w:val="00F0270A"/>
    <w:rsid w:val="00F2201C"/>
    <w:rsid w:val="00F2273E"/>
    <w:rsid w:val="00F257EB"/>
    <w:rsid w:val="00F26D7B"/>
    <w:rsid w:val="00F30EFC"/>
    <w:rsid w:val="00F419E3"/>
    <w:rsid w:val="00F41BB7"/>
    <w:rsid w:val="00F62A13"/>
    <w:rsid w:val="00F71570"/>
    <w:rsid w:val="00F73AC5"/>
    <w:rsid w:val="00F74755"/>
    <w:rsid w:val="00F907F5"/>
    <w:rsid w:val="00FA291A"/>
    <w:rsid w:val="00FB6DCA"/>
    <w:rsid w:val="00FC2D00"/>
    <w:rsid w:val="00FC429C"/>
    <w:rsid w:val="00FD4832"/>
    <w:rsid w:val="0F6DCF8C"/>
    <w:rsid w:val="1362D488"/>
    <w:rsid w:val="13C9D5FF"/>
    <w:rsid w:val="2E0A7BB7"/>
    <w:rsid w:val="32070AD3"/>
    <w:rsid w:val="35D8D58C"/>
    <w:rsid w:val="38210D86"/>
    <w:rsid w:val="3B5359E4"/>
    <w:rsid w:val="3DEA20F8"/>
    <w:rsid w:val="41DF127E"/>
    <w:rsid w:val="4C2E8F0E"/>
    <w:rsid w:val="578F54BC"/>
    <w:rsid w:val="594BFFB5"/>
    <w:rsid w:val="5DDC123D"/>
    <w:rsid w:val="63CC6862"/>
    <w:rsid w:val="69B7AC70"/>
    <w:rsid w:val="6B99612D"/>
    <w:rsid w:val="74A1EEAC"/>
    <w:rsid w:val="783A7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5638F"/>
  <w15:chartTrackingRefBased/>
  <w15:docId w15:val="{094A92D9-983A-4E81-92E8-DDF0E67A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B6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B6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B6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B6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D5"/>
    <w:rPr>
      <w:rFonts w:eastAsiaTheme="majorEastAsia" w:cstheme="majorBidi"/>
      <w:color w:val="272727" w:themeColor="text1" w:themeTint="D8"/>
    </w:rPr>
  </w:style>
  <w:style w:type="paragraph" w:styleId="Title">
    <w:name w:val="Title"/>
    <w:basedOn w:val="Normal"/>
    <w:next w:val="Normal"/>
    <w:link w:val="TitleChar"/>
    <w:uiPriority w:val="10"/>
    <w:qFormat/>
    <w:rsid w:val="00CB6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D5"/>
    <w:pPr>
      <w:spacing w:before="160"/>
      <w:jc w:val="center"/>
    </w:pPr>
    <w:rPr>
      <w:i/>
      <w:iCs/>
      <w:color w:val="404040" w:themeColor="text1" w:themeTint="BF"/>
    </w:rPr>
  </w:style>
  <w:style w:type="character" w:customStyle="1" w:styleId="QuoteChar">
    <w:name w:val="Quote Char"/>
    <w:basedOn w:val="DefaultParagraphFont"/>
    <w:link w:val="Quote"/>
    <w:uiPriority w:val="29"/>
    <w:rsid w:val="00CB6AD5"/>
    <w:rPr>
      <w:i/>
      <w:iCs/>
      <w:color w:val="404040" w:themeColor="text1" w:themeTint="BF"/>
    </w:rPr>
  </w:style>
  <w:style w:type="paragraph" w:styleId="ListParagraph">
    <w:name w:val="List Paragraph"/>
    <w:basedOn w:val="Normal"/>
    <w:uiPriority w:val="34"/>
    <w:qFormat/>
    <w:rsid w:val="00CB6AD5"/>
    <w:pPr>
      <w:ind w:left="720"/>
      <w:contextualSpacing/>
    </w:pPr>
  </w:style>
  <w:style w:type="character" w:styleId="IntenseEmphasis">
    <w:name w:val="Intense Emphasis"/>
    <w:basedOn w:val="DefaultParagraphFont"/>
    <w:uiPriority w:val="21"/>
    <w:qFormat/>
    <w:rsid w:val="00CB6AD5"/>
    <w:rPr>
      <w:i/>
      <w:iCs/>
      <w:color w:val="0F4761" w:themeColor="accent1" w:themeShade="BF"/>
    </w:rPr>
  </w:style>
  <w:style w:type="paragraph" w:styleId="IntenseQuote">
    <w:name w:val="Intense Quote"/>
    <w:basedOn w:val="Normal"/>
    <w:next w:val="Normal"/>
    <w:link w:val="IntenseQuoteChar"/>
    <w:uiPriority w:val="30"/>
    <w:qFormat/>
    <w:rsid w:val="00CB6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AD5"/>
    <w:rPr>
      <w:i/>
      <w:iCs/>
      <w:color w:val="0F4761" w:themeColor="accent1" w:themeShade="BF"/>
    </w:rPr>
  </w:style>
  <w:style w:type="character" w:styleId="IntenseReference">
    <w:name w:val="Intense Reference"/>
    <w:basedOn w:val="DefaultParagraphFont"/>
    <w:uiPriority w:val="32"/>
    <w:qFormat/>
    <w:rsid w:val="00CB6AD5"/>
    <w:rPr>
      <w:b/>
      <w:bCs/>
      <w:smallCaps/>
      <w:color w:val="0F4761" w:themeColor="accent1" w:themeShade="BF"/>
      <w:spacing w:val="5"/>
    </w:rPr>
  </w:style>
  <w:style w:type="paragraph" w:styleId="Header">
    <w:name w:val="header"/>
    <w:basedOn w:val="Normal"/>
    <w:link w:val="HeaderChar"/>
    <w:uiPriority w:val="99"/>
    <w:unhideWhenUsed/>
    <w:rsid w:val="000D35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3571"/>
  </w:style>
  <w:style w:type="paragraph" w:styleId="Footer">
    <w:name w:val="footer"/>
    <w:basedOn w:val="Normal"/>
    <w:link w:val="FooterChar"/>
    <w:uiPriority w:val="99"/>
    <w:unhideWhenUsed/>
    <w:rsid w:val="000D35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3571"/>
  </w:style>
  <w:style w:type="character" w:styleId="CommentReference">
    <w:name w:val="annotation reference"/>
    <w:basedOn w:val="DefaultParagraphFont"/>
    <w:uiPriority w:val="99"/>
    <w:semiHidden/>
    <w:unhideWhenUsed/>
    <w:rsid w:val="000D3571"/>
    <w:rPr>
      <w:sz w:val="16"/>
      <w:szCs w:val="16"/>
    </w:rPr>
  </w:style>
  <w:style w:type="paragraph" w:styleId="CommentText">
    <w:name w:val="annotation text"/>
    <w:basedOn w:val="Normal"/>
    <w:link w:val="CommentTextChar"/>
    <w:uiPriority w:val="99"/>
    <w:unhideWhenUsed/>
    <w:rsid w:val="000D3571"/>
    <w:pPr>
      <w:spacing w:line="240" w:lineRule="auto"/>
    </w:pPr>
    <w:rPr>
      <w:sz w:val="20"/>
      <w:szCs w:val="20"/>
    </w:rPr>
  </w:style>
  <w:style w:type="character" w:customStyle="1" w:styleId="CommentTextChar">
    <w:name w:val="Comment Text Char"/>
    <w:basedOn w:val="DefaultParagraphFont"/>
    <w:link w:val="CommentText"/>
    <w:uiPriority w:val="99"/>
    <w:rsid w:val="000D3571"/>
    <w:rPr>
      <w:sz w:val="20"/>
      <w:szCs w:val="20"/>
    </w:rPr>
  </w:style>
  <w:style w:type="paragraph" w:styleId="CommentSubject">
    <w:name w:val="annotation subject"/>
    <w:basedOn w:val="CommentText"/>
    <w:next w:val="CommentText"/>
    <w:link w:val="CommentSubjectChar"/>
    <w:uiPriority w:val="99"/>
    <w:semiHidden/>
    <w:unhideWhenUsed/>
    <w:rsid w:val="000D3571"/>
    <w:rPr>
      <w:b/>
      <w:bCs/>
    </w:rPr>
  </w:style>
  <w:style w:type="character" w:customStyle="1" w:styleId="CommentSubjectChar">
    <w:name w:val="Comment Subject Char"/>
    <w:basedOn w:val="CommentTextChar"/>
    <w:link w:val="CommentSubject"/>
    <w:uiPriority w:val="99"/>
    <w:semiHidden/>
    <w:rsid w:val="000D3571"/>
    <w:rPr>
      <w:b/>
      <w:bCs/>
      <w:sz w:val="20"/>
      <w:szCs w:val="20"/>
    </w:rPr>
  </w:style>
  <w:style w:type="paragraph" w:styleId="EndnoteText">
    <w:name w:val="endnote text"/>
    <w:basedOn w:val="Normal"/>
    <w:link w:val="EndnoteTextChar"/>
    <w:uiPriority w:val="99"/>
    <w:semiHidden/>
    <w:unhideWhenUsed/>
    <w:rsid w:val="000D357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D3571"/>
    <w:rPr>
      <w:sz w:val="20"/>
      <w:szCs w:val="20"/>
    </w:rPr>
  </w:style>
  <w:style w:type="character" w:styleId="EndnoteReference">
    <w:name w:val="endnote reference"/>
    <w:basedOn w:val="DefaultParagraphFont"/>
    <w:uiPriority w:val="99"/>
    <w:semiHidden/>
    <w:unhideWhenUsed/>
    <w:rsid w:val="000D3571"/>
    <w:rPr>
      <w:vertAlign w:val="superscript"/>
    </w:rPr>
  </w:style>
  <w:style w:type="paragraph" w:styleId="Revision">
    <w:name w:val="Revision"/>
    <w:hidden/>
    <w:uiPriority w:val="99"/>
    <w:semiHidden/>
    <w:rsid w:val="00053363"/>
    <w:pPr>
      <w:spacing w:after="0" w:line="240" w:lineRule="auto"/>
    </w:pPr>
  </w:style>
  <w:style w:type="table" w:styleId="TableGrid">
    <w:name w:val="Table Grid"/>
    <w:basedOn w:val="TableNormal"/>
    <w:uiPriority w:val="39"/>
    <w:rsid w:val="00D83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83B33"/>
    <w:rPr>
      <w:color w:val="2B579A"/>
      <w:shd w:val="clear" w:color="auto" w:fill="E1DFDD"/>
    </w:rPr>
  </w:style>
  <w:style w:type="paragraph" w:styleId="NormalWeb">
    <w:name w:val="Normal (Web)"/>
    <w:basedOn w:val="Normal"/>
    <w:uiPriority w:val="99"/>
    <w:semiHidden/>
    <w:unhideWhenUsed/>
    <w:rsid w:val="00B6170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6170F"/>
    <w:rPr>
      <w:b/>
      <w:bCs/>
    </w:rPr>
  </w:style>
  <w:style w:type="paragraph" w:styleId="FootnoteText">
    <w:name w:val="footnote text"/>
    <w:basedOn w:val="Normal"/>
    <w:link w:val="FootnoteTextChar"/>
    <w:uiPriority w:val="99"/>
    <w:semiHidden/>
    <w:unhideWhenUsed/>
    <w:rsid w:val="008677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677D6"/>
    <w:rPr>
      <w:sz w:val="20"/>
      <w:szCs w:val="20"/>
    </w:rPr>
  </w:style>
  <w:style w:type="character" w:styleId="FootnoteReference">
    <w:name w:val="footnote reference"/>
    <w:basedOn w:val="DefaultParagraphFont"/>
    <w:uiPriority w:val="99"/>
    <w:semiHidden/>
    <w:unhideWhenUsed/>
    <w:rsid w:val="008677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4E5FAE07818684A832657A04C584BE2" ma:contentTypeVersion="11" ma:contentTypeDescription="Create a new document." ma:contentTypeScope="" ma:versionID="3e3546dc958bc5792e21b027a44a0168">
  <xsd:schema xmlns:xsd="http://www.w3.org/2001/XMLSchema" xmlns:xs="http://www.w3.org/2001/XMLSchema" xmlns:p="http://schemas.microsoft.com/office/2006/metadata/properties" xmlns:ns2="d8de9f6d-447c-4500-9d9c-092faeebeddb" xmlns:ns3="1eba36c6-03c7-417a-894a-e0ba73778b18" targetNamespace="http://schemas.microsoft.com/office/2006/metadata/properties" ma:root="true" ma:fieldsID="a0326d0776d44d568a59a207a59b2a4f" ns2:_="" ns3:_="">
    <xsd:import namespace="d8de9f6d-447c-4500-9d9c-092faeebeddb"/>
    <xsd:import namespace="1eba36c6-03c7-417a-894a-e0ba73778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e9f6d-447c-4500-9d9c-092faeebed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72a751-c2a1-410f-8384-0186ab4766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a36c6-03c7-417a-894a-e0ba73778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a2192c-948d-42e0-b1ac-6c59802da235}" ma:internalName="TaxCatchAll" ma:showField="CatchAllData" ma:web="1eba36c6-03c7-417a-894a-e0ba73778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8de9f6d-447c-4500-9d9c-092faeebeddb">
      <Terms xmlns="http://schemas.microsoft.com/office/infopath/2007/PartnerControls"/>
    </lcf76f155ced4ddcb4097134ff3c332f>
    <TaxCatchAll xmlns="1eba36c6-03c7-417a-894a-e0ba73778b18" xsi:nil="true"/>
  </documentManagement>
</p:properties>
</file>

<file path=customXml/itemProps1.xml><?xml version="1.0" encoding="utf-8"?>
<ds:datastoreItem xmlns:ds="http://schemas.openxmlformats.org/officeDocument/2006/customXml" ds:itemID="{D565B366-8CA8-4138-B92B-A91A50CF34B8}">
  <ds:schemaRefs>
    <ds:schemaRef ds:uri="http://schemas.openxmlformats.org/officeDocument/2006/bibliography"/>
  </ds:schemaRefs>
</ds:datastoreItem>
</file>

<file path=customXml/itemProps2.xml><?xml version="1.0" encoding="utf-8"?>
<ds:datastoreItem xmlns:ds="http://schemas.openxmlformats.org/officeDocument/2006/customXml" ds:itemID="{E912456B-162D-4018-A19F-8252CDE630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e9f6d-447c-4500-9d9c-092faeebeddb"/>
    <ds:schemaRef ds:uri="1eba36c6-03c7-417a-894a-e0ba73778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18840B-E07C-407F-883D-506E0078E4FA}">
  <ds:schemaRefs>
    <ds:schemaRef ds:uri="http://schemas.microsoft.com/sharepoint/v3/contenttype/forms"/>
  </ds:schemaRefs>
</ds:datastoreItem>
</file>

<file path=customXml/itemProps4.xml><?xml version="1.0" encoding="utf-8"?>
<ds:datastoreItem xmlns:ds="http://schemas.openxmlformats.org/officeDocument/2006/customXml" ds:itemID="{8A63A52F-9D99-4F18-8DBC-E8C3668D8161}">
  <ds:schemaRefs>
    <ds:schemaRef ds:uri="http://schemas.microsoft.com/office/2006/metadata/properties"/>
    <ds:schemaRef ds:uri="http://schemas.microsoft.com/office/infopath/2007/PartnerControls"/>
    <ds:schemaRef ds:uri="d8de9f6d-447c-4500-9d9c-092faeebeddb"/>
    <ds:schemaRef ds:uri="1eba36c6-03c7-417a-894a-e0ba73778b1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1581</Words>
  <Characters>7955</Characters>
  <Application>Microsoft Office Word</Application>
  <DocSecurity>0</DocSecurity>
  <Lines>194</Lines>
  <Paragraphs>173</Paragraphs>
  <ScaleCrop>false</ScaleCrop>
  <Company/>
  <LinksUpToDate>false</LinksUpToDate>
  <CharactersWithSpaces>9363</CharactersWithSpaces>
  <SharedDoc>false</SharedDoc>
  <HLinks>
    <vt:vector size="18" baseType="variant">
      <vt:variant>
        <vt:i4>589878</vt:i4>
      </vt:variant>
      <vt:variant>
        <vt:i4>6</vt:i4>
      </vt:variant>
      <vt:variant>
        <vt:i4>0</vt:i4>
      </vt:variant>
      <vt:variant>
        <vt:i4>5</vt:i4>
      </vt:variant>
      <vt:variant>
        <vt:lpwstr>mailto:slocke@sbctc.edu</vt:lpwstr>
      </vt:variant>
      <vt:variant>
        <vt:lpwstr/>
      </vt:variant>
      <vt:variant>
        <vt:i4>589878</vt:i4>
      </vt:variant>
      <vt:variant>
        <vt:i4>3</vt:i4>
      </vt:variant>
      <vt:variant>
        <vt:i4>0</vt:i4>
      </vt:variant>
      <vt:variant>
        <vt:i4>5</vt:i4>
      </vt:variant>
      <vt:variant>
        <vt:lpwstr>mailto:slocke@sbctc.edu</vt:lpwstr>
      </vt:variant>
      <vt:variant>
        <vt:lpwstr/>
      </vt:variant>
      <vt:variant>
        <vt:i4>589878</vt:i4>
      </vt:variant>
      <vt:variant>
        <vt:i4>0</vt:i4>
      </vt:variant>
      <vt:variant>
        <vt:i4>0</vt:i4>
      </vt:variant>
      <vt:variant>
        <vt:i4>5</vt:i4>
      </vt:variant>
      <vt:variant>
        <vt:lpwstr>mailto:slocke@sbctc.edu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Jennings</dc:creator>
  <cp:keywords/>
  <dc:description/>
  <cp:lastModifiedBy>Darrell Jennings</cp:lastModifiedBy>
  <cp:revision>2</cp:revision>
  <dcterms:created xsi:type="dcterms:W3CDTF">2026-06-12T05:02:00Z</dcterms:created>
  <dcterms:modified xsi:type="dcterms:W3CDTF">2026-06-12T05:02:00Z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0x010100E4E5FAE07818684A832657A04C584BE2</vt:lpwstr>
  </property>
  <property fmtid="{D5CDD505-2E9C-101B-9397-08002B2CF9AE}" pid="3" name="docLang">
    <vt:lpwstr>en</vt:lpwstr>
  </property>
  <property fmtid="{D5CDD505-2E9C-101B-9397-08002B2CF9AE}" pid="4" name="MediaServiceImageTags">
    <vt:lpwstr/>
  </property>
</Properties>
</file>