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FC0AE" w14:textId="654118C2" w:rsidR="002F0240" w:rsidRPr="00A2102F" w:rsidRDefault="00675534" w:rsidP="00A2102F">
      <w:pPr>
        <w:spacing w:after="120"/>
        <w:jc w:val="center"/>
        <w:rPr>
          <w:b/>
          <w:color w:val="808080" w:themeColor="background1" w:themeShade="80"/>
          <w:sz w:val="40"/>
          <w:szCs w:val="40"/>
        </w:rPr>
      </w:pPr>
      <w:bookmarkStart w:id="0" w:name="_GoBack"/>
      <w:bookmarkEnd w:id="0"/>
      <w:r w:rsidRPr="00A2102F">
        <w:rPr>
          <w:b/>
          <w:color w:val="808080" w:themeColor="background1" w:themeShade="80"/>
          <w:sz w:val="40"/>
          <w:szCs w:val="40"/>
        </w:rPr>
        <w:t xml:space="preserve">Best Practices for </w:t>
      </w:r>
      <w:r w:rsidR="00343119" w:rsidRPr="00A2102F">
        <w:rPr>
          <w:b/>
          <w:color w:val="808080" w:themeColor="background1" w:themeShade="80"/>
          <w:sz w:val="40"/>
          <w:szCs w:val="40"/>
        </w:rPr>
        <w:t>I</w:t>
      </w:r>
      <w:r w:rsidR="002F0240" w:rsidRPr="00A2102F">
        <w:rPr>
          <w:b/>
          <w:color w:val="808080" w:themeColor="background1" w:themeShade="80"/>
          <w:sz w:val="40"/>
          <w:szCs w:val="40"/>
        </w:rPr>
        <w:t xml:space="preserve">mplementing </w:t>
      </w:r>
      <w:r w:rsidR="00343119" w:rsidRPr="00A2102F">
        <w:rPr>
          <w:b/>
          <w:color w:val="808080" w:themeColor="background1" w:themeShade="80"/>
          <w:sz w:val="40"/>
          <w:szCs w:val="40"/>
        </w:rPr>
        <w:t>N</w:t>
      </w:r>
      <w:r w:rsidR="002F0240" w:rsidRPr="00A2102F">
        <w:rPr>
          <w:b/>
          <w:color w:val="808080" w:themeColor="background1" w:themeShade="80"/>
          <w:sz w:val="40"/>
          <w:szCs w:val="40"/>
        </w:rPr>
        <w:t xml:space="preserve">ew GASB </w:t>
      </w:r>
      <w:r w:rsidR="00343119" w:rsidRPr="00A2102F">
        <w:rPr>
          <w:b/>
          <w:color w:val="808080" w:themeColor="background1" w:themeShade="80"/>
          <w:sz w:val="40"/>
          <w:szCs w:val="40"/>
        </w:rPr>
        <w:t>S</w:t>
      </w:r>
      <w:r w:rsidR="002F0240" w:rsidRPr="00A2102F">
        <w:rPr>
          <w:b/>
          <w:color w:val="808080" w:themeColor="background1" w:themeShade="80"/>
          <w:sz w:val="40"/>
          <w:szCs w:val="40"/>
        </w:rPr>
        <w:t>ta</w:t>
      </w:r>
      <w:r w:rsidR="00343119" w:rsidRPr="00A2102F">
        <w:rPr>
          <w:b/>
          <w:color w:val="808080" w:themeColor="background1" w:themeShade="80"/>
          <w:sz w:val="40"/>
          <w:szCs w:val="40"/>
        </w:rPr>
        <w:t>ndard</w:t>
      </w:r>
      <w:r w:rsidR="002F0240" w:rsidRPr="00A2102F">
        <w:rPr>
          <w:b/>
          <w:color w:val="808080" w:themeColor="background1" w:themeShade="80"/>
          <w:sz w:val="40"/>
          <w:szCs w:val="40"/>
        </w:rPr>
        <w:t>s</w:t>
      </w:r>
    </w:p>
    <w:p w14:paraId="1DDE6129" w14:textId="1ACBF819" w:rsidR="00922EDC" w:rsidRPr="006A1118" w:rsidRDefault="000F0AED" w:rsidP="00922EDC">
      <w:pPr>
        <w:spacing w:after="120"/>
      </w:pPr>
      <w:r>
        <w:t xml:space="preserve">During the past 10 years, </w:t>
      </w:r>
      <w:r w:rsidR="00922EDC">
        <w:t xml:space="preserve">state and local governments have </w:t>
      </w:r>
      <w:r>
        <w:t>had a yearly</w:t>
      </w:r>
      <w:r w:rsidR="00922EDC">
        <w:t xml:space="preserve"> average of three new </w:t>
      </w:r>
      <w:r w:rsidR="005A0827">
        <w:t>Governmental Accounting Standards Board (</w:t>
      </w:r>
      <w:r w:rsidR="00922EDC">
        <w:t>GASB</w:t>
      </w:r>
      <w:r w:rsidR="005A0827">
        <w:t>)</w:t>
      </w:r>
      <w:r w:rsidR="00922EDC">
        <w:t xml:space="preserve"> standards to implement</w:t>
      </w:r>
      <w:r w:rsidR="00922EDC" w:rsidRPr="002B6BB8">
        <w:t>.</w:t>
      </w:r>
      <w:r w:rsidR="00922EDC">
        <w:t xml:space="preserve"> Each new standard is unique, but having to implement new standards is not. Therefore, the overall process to identify, plan, communicate and monitor changes can be built into the normal financial statement preparation process. And b</w:t>
      </w:r>
      <w:r w:rsidR="00922EDC" w:rsidRPr="006A1118">
        <w:t xml:space="preserve">est practices </w:t>
      </w:r>
      <w:r w:rsidR="00922EDC">
        <w:rPr>
          <w:rFonts w:cstheme="minorHAnsi"/>
        </w:rPr>
        <w:t>–</w:t>
      </w:r>
      <w:r w:rsidR="00922EDC" w:rsidRPr="006A1118">
        <w:t xml:space="preserve"> such as those described </w:t>
      </w:r>
      <w:r w:rsidR="00922EDC">
        <w:t>below</w:t>
      </w:r>
      <w:r w:rsidR="00922EDC" w:rsidRPr="006A1118">
        <w:t xml:space="preserve"> – can </w:t>
      </w:r>
      <w:r w:rsidR="00922EDC">
        <w:t>make</w:t>
      </w:r>
      <w:r w:rsidR="00922EDC" w:rsidRPr="006A1118">
        <w:t xml:space="preserve"> implementat</w:t>
      </w:r>
      <w:r w:rsidR="00922EDC">
        <w:t xml:space="preserve">ion of new standards a regular and manageable part of </w:t>
      </w:r>
      <w:r w:rsidR="00922EDC" w:rsidRPr="006A1118">
        <w:t>financial statement preparation.</w:t>
      </w:r>
    </w:p>
    <w:p w14:paraId="5CB8E568" w14:textId="49E512ED" w:rsidR="00726ED2" w:rsidRPr="00A2102F" w:rsidRDefault="00FB65E9" w:rsidP="00A2102F">
      <w:pPr>
        <w:spacing w:before="120" w:after="80"/>
        <w:rPr>
          <w:b/>
        </w:rPr>
      </w:pPr>
      <w:r w:rsidRPr="00A2102F">
        <w:rPr>
          <w:b/>
        </w:rPr>
        <w:t>Identifying and A</w:t>
      </w:r>
      <w:r w:rsidR="001141E4" w:rsidRPr="00A2102F">
        <w:rPr>
          <w:b/>
        </w:rPr>
        <w:t>nalyzing</w:t>
      </w:r>
      <w:r w:rsidRPr="00A2102F">
        <w:rPr>
          <w:b/>
        </w:rPr>
        <w:t xml:space="preserve"> Changes</w:t>
      </w:r>
    </w:p>
    <w:p w14:paraId="673FF5C7" w14:textId="77777777" w:rsidR="00617616" w:rsidRDefault="00617616" w:rsidP="00617616">
      <w:pPr>
        <w:pStyle w:val="ListParagraph"/>
        <w:numPr>
          <w:ilvl w:val="0"/>
          <w:numId w:val="1"/>
        </w:numPr>
        <w:spacing w:after="120"/>
      </w:pPr>
      <w:r>
        <w:t xml:space="preserve">All key members of the financial statement preparation team should be subscribed to publications that announce new GASB standards (for example, the free quarterly </w:t>
      </w:r>
      <w:r w:rsidRPr="00E02035">
        <w:rPr>
          <w:i/>
          <w:iCs/>
        </w:rPr>
        <w:t>GASB Outlook</w:t>
      </w:r>
      <w:r>
        <w:t xml:space="preserve">).  </w:t>
      </w:r>
    </w:p>
    <w:p w14:paraId="3C45A63E" w14:textId="47B9B35D" w:rsidR="00675534" w:rsidRDefault="00B02303" w:rsidP="00A2102F">
      <w:pPr>
        <w:pStyle w:val="ListParagraph"/>
        <w:numPr>
          <w:ilvl w:val="0"/>
          <w:numId w:val="1"/>
        </w:numPr>
        <w:spacing w:after="120"/>
      </w:pPr>
      <w:r>
        <w:t xml:space="preserve">Assign responsibility </w:t>
      </w:r>
      <w:r w:rsidR="00675534">
        <w:t xml:space="preserve">for </w:t>
      </w:r>
      <w:r w:rsidR="001141E4">
        <w:t xml:space="preserve">identifying and analyzing </w:t>
      </w:r>
      <w:r w:rsidR="00675534">
        <w:t>new GASB</w:t>
      </w:r>
      <w:r w:rsidR="00956E59">
        <w:t xml:space="preserve"> </w:t>
      </w:r>
      <w:r w:rsidR="00675534">
        <w:t>s</w:t>
      </w:r>
      <w:r w:rsidR="00956E59">
        <w:t>tandards</w:t>
      </w:r>
      <w:r w:rsidR="00675534">
        <w:t xml:space="preserve">. This person should be part of the financial statement preparation team </w:t>
      </w:r>
      <w:r w:rsidR="00CA31DE">
        <w:t xml:space="preserve">and </w:t>
      </w:r>
      <w:r w:rsidR="00675534">
        <w:t>have strong accounting and research skills</w:t>
      </w:r>
      <w:r w:rsidR="00571EB4">
        <w:t>.</w:t>
      </w:r>
      <w:r w:rsidR="00675534">
        <w:t xml:space="preserve"> </w:t>
      </w:r>
      <w:r w:rsidR="00571EB4">
        <w:t>T</w:t>
      </w:r>
      <w:r w:rsidR="00675534">
        <w:t>h</w:t>
      </w:r>
      <w:r w:rsidR="00CA31DE">
        <w:t>is</w:t>
      </w:r>
      <w:r w:rsidR="00675534">
        <w:t xml:space="preserve"> assignment </w:t>
      </w:r>
      <w:r w:rsidR="00571EB4">
        <w:t xml:space="preserve">should be </w:t>
      </w:r>
      <w:r w:rsidR="00675534">
        <w:t xml:space="preserve">included in </w:t>
      </w:r>
      <w:r w:rsidR="00571EB4">
        <w:t xml:space="preserve">the person’s </w:t>
      </w:r>
      <w:r w:rsidR="00675534">
        <w:t>job description.</w:t>
      </w:r>
    </w:p>
    <w:p w14:paraId="154B822F" w14:textId="152BCD19" w:rsidR="00FB65E9" w:rsidRDefault="00FB65E9" w:rsidP="00A2102F">
      <w:pPr>
        <w:pStyle w:val="ListParagraph"/>
        <w:numPr>
          <w:ilvl w:val="0"/>
          <w:numId w:val="1"/>
        </w:numPr>
        <w:spacing w:after="120"/>
      </w:pPr>
      <w:r>
        <w:t>The assigned person should read all new GASB</w:t>
      </w:r>
      <w:r w:rsidR="00856F56">
        <w:t xml:space="preserve"> statements</w:t>
      </w:r>
      <w:r>
        <w:t xml:space="preserve"> </w:t>
      </w:r>
      <w:r w:rsidR="001141E4">
        <w:t>soon after they are issued</w:t>
      </w:r>
      <w:r>
        <w:t xml:space="preserve"> to ensure sufficient time for any needed research or implementation.</w:t>
      </w:r>
    </w:p>
    <w:p w14:paraId="56D0335B" w14:textId="34EAD6A2" w:rsidR="00FB65E9" w:rsidRDefault="00FB65E9" w:rsidP="00A2102F">
      <w:pPr>
        <w:pStyle w:val="ListParagraph"/>
        <w:numPr>
          <w:ilvl w:val="0"/>
          <w:numId w:val="1"/>
        </w:numPr>
        <w:spacing w:after="120"/>
      </w:pPr>
      <w:r>
        <w:t xml:space="preserve">The assigned person </w:t>
      </w:r>
      <w:r w:rsidR="001141E4">
        <w:t xml:space="preserve">– and other key team members, as appropriate – </w:t>
      </w:r>
      <w:r>
        <w:t>should attend training classes</w:t>
      </w:r>
      <w:r w:rsidR="00856F56">
        <w:t xml:space="preserve"> </w:t>
      </w:r>
      <w:r>
        <w:t>as they are able, to enhance and confirm their understanding of new standards.</w:t>
      </w:r>
    </w:p>
    <w:p w14:paraId="50D94342" w14:textId="1205EF7E" w:rsidR="00726ED2" w:rsidRPr="00A2102F" w:rsidRDefault="00726ED2" w:rsidP="00A2102F">
      <w:pPr>
        <w:spacing w:before="120" w:after="80"/>
        <w:rPr>
          <w:b/>
        </w:rPr>
      </w:pPr>
      <w:r w:rsidRPr="00A2102F">
        <w:rPr>
          <w:b/>
        </w:rPr>
        <w:t>Plan</w:t>
      </w:r>
      <w:r w:rsidR="007E08C1" w:rsidRPr="00A2102F">
        <w:rPr>
          <w:b/>
        </w:rPr>
        <w:t>ning</w:t>
      </w:r>
    </w:p>
    <w:p w14:paraId="39F611F8" w14:textId="38EDC49B" w:rsidR="00675534" w:rsidRDefault="00571EB4" w:rsidP="00A2102F">
      <w:pPr>
        <w:pStyle w:val="ListParagraph"/>
        <w:numPr>
          <w:ilvl w:val="0"/>
          <w:numId w:val="1"/>
        </w:numPr>
        <w:spacing w:after="120"/>
      </w:pPr>
      <w:r>
        <w:t>Capture p</w:t>
      </w:r>
      <w:r w:rsidR="00BF0C5A">
        <w:t>reliminary r</w:t>
      </w:r>
      <w:r w:rsidR="00675534">
        <w:t xml:space="preserve">esearch steps, conclusions and implementation plan (if needed) </w:t>
      </w:r>
      <w:r w:rsidR="002A6EC5">
        <w:t>on a checklist</w:t>
      </w:r>
      <w:r w:rsidR="009F76C3">
        <w:t xml:space="preserve"> (such as this </w:t>
      </w:r>
      <w:hyperlink r:id="rId8" w:anchor="/address?mid=6&amp;rid=18505" w:history="1">
        <w:r w:rsidR="00936295">
          <w:rPr>
            <w:rStyle w:val="Hyperlink"/>
          </w:rPr>
          <w:t>example checklist</w:t>
        </w:r>
      </w:hyperlink>
      <w:r w:rsidR="009F76C3">
        <w:t xml:space="preserve"> </w:t>
      </w:r>
      <w:r w:rsidR="00575D47">
        <w:t xml:space="preserve">available </w:t>
      </w:r>
      <w:r w:rsidR="009F76C3">
        <w:t>on our website)</w:t>
      </w:r>
      <w:r w:rsidR="002A6EC5">
        <w:t>.</w:t>
      </w:r>
      <w:r w:rsidR="00E02035" w:rsidRPr="00E02035">
        <w:rPr>
          <w:rStyle w:val="EndnoteReference"/>
        </w:rPr>
        <w:t xml:space="preserve"> </w:t>
      </w:r>
    </w:p>
    <w:p w14:paraId="43E47A20" w14:textId="4E4DD807" w:rsidR="00BF0C5A" w:rsidRDefault="00571EB4" w:rsidP="00BF0C5A">
      <w:pPr>
        <w:pStyle w:val="ListParagraph"/>
        <w:numPr>
          <w:ilvl w:val="0"/>
          <w:numId w:val="1"/>
        </w:numPr>
      </w:pPr>
      <w:r>
        <w:t>Develop a</w:t>
      </w:r>
      <w:r w:rsidR="00856F56">
        <w:t>n i</w:t>
      </w:r>
      <w:r w:rsidR="00BF0C5A">
        <w:t xml:space="preserve">mplementation plan </w:t>
      </w:r>
      <w:r w:rsidR="001141E4">
        <w:t xml:space="preserve">that </w:t>
      </w:r>
      <w:r w:rsidR="00BF0C5A">
        <w:t>include</w:t>
      </w:r>
      <w:r w:rsidR="001141E4">
        <w:t>s</w:t>
      </w:r>
      <w:r w:rsidR="00BF0C5A">
        <w:t>, as needed:</w:t>
      </w:r>
    </w:p>
    <w:p w14:paraId="2F2E03FA" w14:textId="3F90F719" w:rsidR="00BF0C5A" w:rsidRDefault="00BF0C5A" w:rsidP="00A2102F">
      <w:pPr>
        <w:pStyle w:val="ListParagraph"/>
        <w:numPr>
          <w:ilvl w:val="1"/>
          <w:numId w:val="4"/>
        </w:numPr>
      </w:pPr>
      <w:r>
        <w:t xml:space="preserve">Additional research steps to resolve any interpretation or application questions, or to check understanding of key </w:t>
      </w:r>
      <w:r w:rsidRPr="00BF0C5A">
        <w:t>provisions (especially if expected to be costly)</w:t>
      </w:r>
      <w:r w:rsidR="001141E4">
        <w:t>;</w:t>
      </w:r>
    </w:p>
    <w:p w14:paraId="135B6C4F" w14:textId="0A16962B" w:rsidR="00BF0C5A" w:rsidRPr="00BF0C5A" w:rsidRDefault="00BF0C5A" w:rsidP="00A2102F">
      <w:pPr>
        <w:pStyle w:val="ListParagraph"/>
        <w:numPr>
          <w:ilvl w:val="1"/>
          <w:numId w:val="4"/>
        </w:numPr>
      </w:pPr>
      <w:r w:rsidRPr="00BF0C5A">
        <w:rPr>
          <w:rFonts w:asciiTheme="minorHAnsi" w:hAnsiTheme="minorHAnsi" w:cstheme="minorBidi"/>
        </w:rPr>
        <w:t>Discussions with internal and external stakeholders who may need to be involved</w:t>
      </w:r>
      <w:r w:rsidR="001141E4">
        <w:rPr>
          <w:rFonts w:asciiTheme="minorHAnsi" w:hAnsiTheme="minorHAnsi" w:cstheme="minorBidi"/>
        </w:rPr>
        <w:t>;</w:t>
      </w:r>
    </w:p>
    <w:p w14:paraId="3556C80D" w14:textId="1F8BA5B9" w:rsidR="00BF0C5A" w:rsidRPr="00BF0C5A" w:rsidRDefault="00BF0C5A" w:rsidP="00A2102F">
      <w:pPr>
        <w:pStyle w:val="ListParagraph"/>
        <w:numPr>
          <w:ilvl w:val="1"/>
          <w:numId w:val="4"/>
        </w:numPr>
      </w:pPr>
      <w:r w:rsidRPr="00BF0C5A">
        <w:rPr>
          <w:rFonts w:asciiTheme="minorHAnsi" w:hAnsiTheme="minorHAnsi" w:cstheme="minorBidi"/>
        </w:rPr>
        <w:t>Gathering needed information</w:t>
      </w:r>
      <w:r w:rsidR="001141E4">
        <w:rPr>
          <w:rFonts w:asciiTheme="minorHAnsi" w:hAnsiTheme="minorHAnsi" w:cstheme="minorBidi"/>
        </w:rPr>
        <w:t>;</w:t>
      </w:r>
    </w:p>
    <w:p w14:paraId="5D455AC9" w14:textId="4B61633A" w:rsidR="00BF0C5A" w:rsidRPr="00BF0C5A" w:rsidRDefault="00BF0C5A" w:rsidP="00A2102F">
      <w:pPr>
        <w:pStyle w:val="ListParagraph"/>
        <w:numPr>
          <w:ilvl w:val="1"/>
          <w:numId w:val="4"/>
        </w:numPr>
      </w:pPr>
      <w:r w:rsidRPr="00BF0C5A">
        <w:t>Changes to the chart of accounts, worksheets or templates</w:t>
      </w:r>
      <w:r w:rsidR="001141E4">
        <w:t>;</w:t>
      </w:r>
    </w:p>
    <w:p w14:paraId="48B8B679" w14:textId="68CD2511" w:rsidR="00BF0C5A" w:rsidRPr="00BF0C5A" w:rsidRDefault="00BF0C5A" w:rsidP="00A2102F">
      <w:pPr>
        <w:pStyle w:val="ListParagraph"/>
        <w:numPr>
          <w:ilvl w:val="1"/>
          <w:numId w:val="4"/>
        </w:numPr>
      </w:pPr>
      <w:r w:rsidRPr="00BF0C5A">
        <w:rPr>
          <w:rFonts w:asciiTheme="minorHAnsi" w:hAnsiTheme="minorHAnsi" w:cstheme="minorBidi"/>
        </w:rPr>
        <w:t>Changes to systems or processes to gather new or different information</w:t>
      </w:r>
      <w:r w:rsidR="001141E4">
        <w:rPr>
          <w:rFonts w:asciiTheme="minorHAnsi" w:hAnsiTheme="minorHAnsi" w:cstheme="minorBidi"/>
        </w:rPr>
        <w:t>; and</w:t>
      </w:r>
    </w:p>
    <w:p w14:paraId="713D178C" w14:textId="75350D03" w:rsidR="00BF0C5A" w:rsidRPr="00BF0C5A" w:rsidRDefault="00BF0C5A" w:rsidP="00A2102F">
      <w:pPr>
        <w:pStyle w:val="ListParagraph"/>
        <w:numPr>
          <w:ilvl w:val="1"/>
          <w:numId w:val="4"/>
        </w:numPr>
        <w:spacing w:after="120"/>
      </w:pPr>
      <w:r w:rsidRPr="00BF0C5A">
        <w:t xml:space="preserve">Changes to internal </w:t>
      </w:r>
      <w:r w:rsidRPr="00BF0C5A">
        <w:rPr>
          <w:rFonts w:asciiTheme="minorHAnsi" w:hAnsiTheme="minorHAnsi" w:cstheme="minorBidi"/>
        </w:rPr>
        <w:t>controls</w:t>
      </w:r>
      <w:r w:rsidR="00E02035">
        <w:rPr>
          <w:rFonts w:asciiTheme="minorHAnsi" w:hAnsiTheme="minorHAnsi" w:cstheme="minorBidi"/>
        </w:rPr>
        <w:t>.</w:t>
      </w:r>
    </w:p>
    <w:p w14:paraId="29CD0154" w14:textId="217A0D6C" w:rsidR="00BF0C5A" w:rsidRDefault="00BF0C5A" w:rsidP="00A2102F">
      <w:pPr>
        <w:pStyle w:val="ListParagraph"/>
        <w:numPr>
          <w:ilvl w:val="0"/>
          <w:numId w:val="1"/>
        </w:numPr>
        <w:spacing w:after="120"/>
      </w:pPr>
      <w:r>
        <w:t xml:space="preserve">Implementation plans should </w:t>
      </w:r>
      <w:r w:rsidR="00571EB4">
        <w:t xml:space="preserve">have </w:t>
      </w:r>
      <w:r>
        <w:t xml:space="preserve">sufficient detail and include assignment of responsibility </w:t>
      </w:r>
      <w:r w:rsidR="001141E4">
        <w:t xml:space="preserve">with </w:t>
      </w:r>
      <w:r>
        <w:t>estimated timelines to allow for effective monitoring.</w:t>
      </w:r>
    </w:p>
    <w:p w14:paraId="213E352D" w14:textId="3F907BE9" w:rsidR="00FB65E9" w:rsidRDefault="00441AED" w:rsidP="00A2102F">
      <w:pPr>
        <w:pStyle w:val="ListParagraph"/>
        <w:numPr>
          <w:ilvl w:val="0"/>
          <w:numId w:val="1"/>
        </w:numPr>
        <w:spacing w:after="120"/>
      </w:pPr>
      <w:r>
        <w:t>Review p</w:t>
      </w:r>
      <w:r w:rsidR="00FB65E9">
        <w:t xml:space="preserve">reliminary conclusions </w:t>
      </w:r>
      <w:r w:rsidR="00BF0C5A">
        <w:t xml:space="preserve">and the implementation plan with </w:t>
      </w:r>
      <w:r w:rsidR="00FB65E9">
        <w:t>the financial statement preparation team to ensure a shared understanding.</w:t>
      </w:r>
    </w:p>
    <w:p w14:paraId="304FB8C7" w14:textId="41CC6396" w:rsidR="00575D47" w:rsidRPr="00430127" w:rsidRDefault="00441AED" w:rsidP="00A2102F">
      <w:pPr>
        <w:pStyle w:val="ListParagraph"/>
        <w:numPr>
          <w:ilvl w:val="0"/>
          <w:numId w:val="1"/>
        </w:numPr>
        <w:spacing w:before="120" w:after="80"/>
        <w:rPr>
          <w:i/>
        </w:rPr>
      </w:pPr>
      <w:r>
        <w:t>Brief t</w:t>
      </w:r>
      <w:r w:rsidR="00E25DEB">
        <w:t>he governing body on final conclusions about new GASB</w:t>
      </w:r>
      <w:r w:rsidR="00856F56">
        <w:t xml:space="preserve"> </w:t>
      </w:r>
      <w:r w:rsidR="00E25DEB">
        <w:t>s</w:t>
      </w:r>
      <w:r w:rsidR="00856F56">
        <w:t>tatements</w:t>
      </w:r>
      <w:r w:rsidR="00E25DEB">
        <w:t xml:space="preserve"> and the team’s implementation plan so </w:t>
      </w:r>
      <w:r>
        <w:t xml:space="preserve">the governing body </w:t>
      </w:r>
      <w:r w:rsidR="00E25DEB">
        <w:t>can oversee the financial reporting process.</w:t>
      </w:r>
      <w:r w:rsidR="00575D47" w:rsidRPr="00430127">
        <w:rPr>
          <w:i/>
        </w:rPr>
        <w:br w:type="page"/>
      </w:r>
    </w:p>
    <w:p w14:paraId="04452FCA" w14:textId="2042B5B3" w:rsidR="00FB65E9" w:rsidRPr="00A2102F" w:rsidRDefault="00FB65E9" w:rsidP="00A2102F">
      <w:pPr>
        <w:spacing w:before="120" w:after="80"/>
        <w:rPr>
          <w:b/>
        </w:rPr>
      </w:pPr>
      <w:r w:rsidRPr="00A2102F">
        <w:rPr>
          <w:b/>
        </w:rPr>
        <w:lastRenderedPageBreak/>
        <w:t>Implement</w:t>
      </w:r>
      <w:r w:rsidR="007E08C1" w:rsidRPr="00A2102F">
        <w:rPr>
          <w:b/>
        </w:rPr>
        <w:t>ation</w:t>
      </w:r>
    </w:p>
    <w:p w14:paraId="6D471705" w14:textId="579101D8" w:rsidR="00FB65E9" w:rsidRDefault="00441AED" w:rsidP="00A2102F">
      <w:pPr>
        <w:pStyle w:val="ListParagraph"/>
        <w:numPr>
          <w:ilvl w:val="0"/>
          <w:numId w:val="1"/>
        </w:numPr>
        <w:spacing w:after="120"/>
      </w:pPr>
      <w:r>
        <w:t>Resolve a</w:t>
      </w:r>
      <w:r w:rsidR="00FB65E9">
        <w:t xml:space="preserve">ll research questions </w:t>
      </w:r>
      <w:r>
        <w:t xml:space="preserve">before </w:t>
      </w:r>
      <w:r w:rsidR="00FB65E9">
        <w:t>financial statement preparation.</w:t>
      </w:r>
    </w:p>
    <w:p w14:paraId="6A7DEA64" w14:textId="412A29D1" w:rsidR="00E25DEB" w:rsidRDefault="00441AED" w:rsidP="00A2102F">
      <w:pPr>
        <w:pStyle w:val="ListParagraph"/>
        <w:numPr>
          <w:ilvl w:val="0"/>
          <w:numId w:val="1"/>
        </w:numPr>
        <w:spacing w:after="120"/>
      </w:pPr>
      <w:r>
        <w:t>Document i</w:t>
      </w:r>
      <w:r w:rsidR="00E25DEB">
        <w:t xml:space="preserve">nterpretations and policy decisions in writing </w:t>
      </w:r>
      <w:r w:rsidR="00947623">
        <w:t>to ensure consisten</w:t>
      </w:r>
      <w:r w:rsidR="00136B40">
        <w:t>cy</w:t>
      </w:r>
      <w:r w:rsidR="00947623">
        <w:t xml:space="preserve"> in future periods and </w:t>
      </w:r>
      <w:r w:rsidR="00E25DEB">
        <w:t xml:space="preserve">as support </w:t>
      </w:r>
      <w:r w:rsidR="00947623">
        <w:t>for external audits.</w:t>
      </w:r>
    </w:p>
    <w:p w14:paraId="407E452E" w14:textId="1145A164" w:rsidR="00FB65E9" w:rsidRDefault="00441AED" w:rsidP="00FB65E9">
      <w:pPr>
        <w:pStyle w:val="ListParagraph"/>
        <w:numPr>
          <w:ilvl w:val="0"/>
          <w:numId w:val="1"/>
        </w:numPr>
      </w:pPr>
      <w:r>
        <w:t>Formalize c</w:t>
      </w:r>
      <w:r w:rsidR="00FB65E9">
        <w:t xml:space="preserve">hanges </w:t>
      </w:r>
      <w:r w:rsidR="009B6248">
        <w:t>in the accounting system and financial statement worksheets</w:t>
      </w:r>
      <w:r w:rsidR="00FB65E9">
        <w:t xml:space="preserve"> rather than implement</w:t>
      </w:r>
      <w:r>
        <w:t>ing them</w:t>
      </w:r>
      <w:r w:rsidR="00FB65E9">
        <w:t xml:space="preserve"> off-book whenever possible.</w:t>
      </w:r>
    </w:p>
    <w:p w14:paraId="34697EFC" w14:textId="2591B9F6" w:rsidR="00726ED2" w:rsidRPr="00726ED2" w:rsidRDefault="00726ED2" w:rsidP="00A2102F">
      <w:pPr>
        <w:spacing w:before="120" w:after="80"/>
        <w:rPr>
          <w:i/>
        </w:rPr>
      </w:pPr>
      <w:r w:rsidRPr="00A2102F">
        <w:rPr>
          <w:b/>
        </w:rPr>
        <w:t>Monitor</w:t>
      </w:r>
      <w:r w:rsidR="002B63D3" w:rsidRPr="00A2102F">
        <w:rPr>
          <w:b/>
        </w:rPr>
        <w:t>ing</w:t>
      </w:r>
    </w:p>
    <w:p w14:paraId="4E395CCB" w14:textId="21BB21D6" w:rsidR="00726ED2" w:rsidRDefault="00B02303" w:rsidP="00A2102F">
      <w:pPr>
        <w:pStyle w:val="ListParagraph"/>
        <w:numPr>
          <w:ilvl w:val="0"/>
          <w:numId w:val="1"/>
        </w:numPr>
        <w:spacing w:after="120"/>
      </w:pPr>
      <w:r>
        <w:t>Assign responsibility for monitoring and t</w:t>
      </w:r>
      <w:r w:rsidR="00726ED2">
        <w:t>rack</w:t>
      </w:r>
      <w:r>
        <w:t>ing</w:t>
      </w:r>
      <w:r w:rsidR="00726ED2">
        <w:t xml:space="preserve"> progress on </w:t>
      </w:r>
      <w:r>
        <w:t xml:space="preserve">the </w:t>
      </w:r>
      <w:r w:rsidR="00726ED2">
        <w:t>implementation plan</w:t>
      </w:r>
      <w:r w:rsidR="00012A90">
        <w:t>.</w:t>
      </w:r>
      <w:r w:rsidR="001141E4">
        <w:t xml:space="preserve"> Normally, this would be the same person assigned responsibility for researching and implementing new standards.</w:t>
      </w:r>
    </w:p>
    <w:p w14:paraId="4CEC463A" w14:textId="152E8986" w:rsidR="00FB65E9" w:rsidRDefault="00441AED" w:rsidP="00A2102F">
      <w:pPr>
        <w:pStyle w:val="ListParagraph"/>
        <w:numPr>
          <w:ilvl w:val="0"/>
          <w:numId w:val="1"/>
        </w:numPr>
        <w:spacing w:after="120"/>
      </w:pPr>
      <w:r>
        <w:t>Save t</w:t>
      </w:r>
      <w:r w:rsidR="00B02303">
        <w:t xml:space="preserve">racking documents </w:t>
      </w:r>
      <w:r w:rsidR="00FB65E9">
        <w:t>in a location accessible to all members of the financial statement preparation team so progress is transparent</w:t>
      </w:r>
      <w:r w:rsidR="007E08C1">
        <w:t xml:space="preserve"> and can be easily referenced </w:t>
      </w:r>
      <w:r w:rsidR="00136B40">
        <w:t xml:space="preserve">throughout </w:t>
      </w:r>
      <w:r w:rsidR="007E08C1">
        <w:t>the year</w:t>
      </w:r>
      <w:r w:rsidR="00FB65E9">
        <w:t>.</w:t>
      </w:r>
    </w:p>
    <w:p w14:paraId="32C13F0D" w14:textId="4951124E" w:rsidR="00675534" w:rsidRDefault="00441AED" w:rsidP="00A2102F">
      <w:pPr>
        <w:pStyle w:val="ListParagraph"/>
        <w:numPr>
          <w:ilvl w:val="0"/>
          <w:numId w:val="1"/>
        </w:numPr>
        <w:spacing w:after="120"/>
      </w:pPr>
      <w:r>
        <w:t>Compare d</w:t>
      </w:r>
      <w:r w:rsidR="00675534">
        <w:t xml:space="preserve">raft changes to </w:t>
      </w:r>
      <w:r w:rsidR="001141E4">
        <w:t>financial statements</w:t>
      </w:r>
      <w:r w:rsidR="00675534">
        <w:t xml:space="preserve"> </w:t>
      </w:r>
      <w:r>
        <w:t xml:space="preserve">against </w:t>
      </w:r>
      <w:r w:rsidR="00B02303">
        <w:t xml:space="preserve">available </w:t>
      </w:r>
      <w:r w:rsidR="00675534">
        <w:t>examples.</w:t>
      </w:r>
      <w:r w:rsidR="007E08C1">
        <w:t xml:space="preserve"> Examples may be obtained from</w:t>
      </w:r>
      <w:r>
        <w:t>:</w:t>
      </w:r>
      <w:r w:rsidR="007E08C1">
        <w:t xml:space="preserve"> </w:t>
      </w:r>
      <w:r w:rsidR="00B02303">
        <w:t xml:space="preserve">GASB statement </w:t>
      </w:r>
      <w:r w:rsidR="007E08C1">
        <w:t>appendices</w:t>
      </w:r>
      <w:r>
        <w:t>;</w:t>
      </w:r>
      <w:r w:rsidR="007E08C1">
        <w:t xml:space="preserve"> associations such as </w:t>
      </w:r>
      <w:r w:rsidR="001A51A0">
        <w:t>Government Finance Officers Association (GFOA)</w:t>
      </w:r>
      <w:r>
        <w:t>;</w:t>
      </w:r>
      <w:r w:rsidR="00B02303">
        <w:t xml:space="preserve"> </w:t>
      </w:r>
      <w:r w:rsidR="007E08C1">
        <w:t xml:space="preserve">industry publications such as </w:t>
      </w:r>
      <w:r w:rsidR="00C4119D">
        <w:t xml:space="preserve">those from </w:t>
      </w:r>
      <w:r w:rsidR="007E08C1">
        <w:t>PPC</w:t>
      </w:r>
      <w:r w:rsidR="00C4119D">
        <w:t>,</w:t>
      </w:r>
      <w:r w:rsidR="007E08C1">
        <w:t xml:space="preserve"> CCH </w:t>
      </w:r>
      <w:r w:rsidR="00C4119D">
        <w:t>or Wiley</w:t>
      </w:r>
      <w:r>
        <w:t>;</w:t>
      </w:r>
      <w:r w:rsidR="007E08C1">
        <w:t xml:space="preserve"> the </w:t>
      </w:r>
      <w:hyperlink r:id="rId9" w:history="1">
        <w:r w:rsidR="009B6248" w:rsidRPr="009B6248">
          <w:rPr>
            <w:rStyle w:val="Hyperlink"/>
          </w:rPr>
          <w:t>BARS Manual example notes</w:t>
        </w:r>
      </w:hyperlink>
      <w:r w:rsidRPr="00A2102F">
        <w:rPr>
          <w:rStyle w:val="Hyperlink"/>
          <w:color w:val="auto"/>
          <w:u w:val="none"/>
        </w:rPr>
        <w:t>;</w:t>
      </w:r>
      <w:r w:rsidR="009B6248">
        <w:t xml:space="preserve"> o</w:t>
      </w:r>
      <w:r w:rsidR="007E08C1">
        <w:t>r draft statements shared by a peer government.</w:t>
      </w:r>
    </w:p>
    <w:p w14:paraId="277B1F53" w14:textId="11D79D28" w:rsidR="002B63D3" w:rsidRDefault="00CA31DE" w:rsidP="00A2102F">
      <w:pPr>
        <w:pStyle w:val="ListParagraph"/>
        <w:numPr>
          <w:ilvl w:val="0"/>
          <w:numId w:val="1"/>
        </w:numPr>
        <w:spacing w:after="120"/>
      </w:pPr>
      <w:r>
        <w:t>T</w:t>
      </w:r>
      <w:r w:rsidR="00856F56">
        <w:t xml:space="preserve">he </w:t>
      </w:r>
      <w:r w:rsidR="002B63D3">
        <w:t xml:space="preserve">implementation </w:t>
      </w:r>
      <w:r w:rsidR="00B02303">
        <w:t>plan and tracking document(s)</w:t>
      </w:r>
      <w:r w:rsidR="002B63D3">
        <w:t xml:space="preserve"> should act as </w:t>
      </w:r>
      <w:r w:rsidR="00B02303">
        <w:t xml:space="preserve">summary </w:t>
      </w:r>
      <w:r w:rsidR="002B63D3">
        <w:t xml:space="preserve">documentation of controls over implementation </w:t>
      </w:r>
      <w:r w:rsidR="00C4119D">
        <w:t>of new standards</w:t>
      </w:r>
      <w:r w:rsidR="002B63D3">
        <w:t>.</w:t>
      </w:r>
    </w:p>
    <w:p w14:paraId="7A195A2D" w14:textId="29E20C74" w:rsidR="00FB65E9" w:rsidRDefault="00831143" w:rsidP="00A2102F">
      <w:pPr>
        <w:pStyle w:val="ListParagraph"/>
        <w:numPr>
          <w:ilvl w:val="0"/>
          <w:numId w:val="1"/>
        </w:numPr>
      </w:pPr>
      <w:r>
        <w:t xml:space="preserve">Communicate with the governing body on implementation progress; depending on the extent of work needed, this </w:t>
      </w:r>
      <w:r w:rsidR="00947623">
        <w:t xml:space="preserve">could range from </w:t>
      </w:r>
      <w:r w:rsidR="00012A90">
        <w:t xml:space="preserve">regular updates </w:t>
      </w:r>
      <w:r w:rsidR="00947623">
        <w:t xml:space="preserve">to a </w:t>
      </w:r>
      <w:r w:rsidR="00856F56">
        <w:t xml:space="preserve">simple </w:t>
      </w:r>
      <w:r w:rsidR="00947623">
        <w:t>notification that implementation is complete</w:t>
      </w:r>
      <w:r w:rsidR="001141E4">
        <w:t>.</w:t>
      </w:r>
    </w:p>
    <w:p w14:paraId="39A56EE7" w14:textId="28D1C62E" w:rsidR="002B63D3" w:rsidRPr="00A2102F" w:rsidRDefault="002B63D3" w:rsidP="00A2102F">
      <w:pPr>
        <w:spacing w:before="120" w:after="80"/>
        <w:rPr>
          <w:b/>
        </w:rPr>
      </w:pPr>
      <w:r w:rsidRPr="00A2102F">
        <w:rPr>
          <w:b/>
        </w:rPr>
        <w:t>Adjusting</w:t>
      </w:r>
    </w:p>
    <w:p w14:paraId="1A9C65D1" w14:textId="766884EE" w:rsidR="00FB65E9" w:rsidRDefault="002A6EC5" w:rsidP="00A2102F">
      <w:pPr>
        <w:pStyle w:val="ListParagraph"/>
        <w:numPr>
          <w:ilvl w:val="0"/>
          <w:numId w:val="1"/>
        </w:numPr>
        <w:spacing w:after="120"/>
      </w:pPr>
      <w:r>
        <w:t>External</w:t>
      </w:r>
      <w:r w:rsidR="00FB65E9">
        <w:t xml:space="preserve"> audit</w:t>
      </w:r>
      <w:r>
        <w:t>s</w:t>
      </w:r>
      <w:r w:rsidR="00FB65E9">
        <w:t xml:space="preserve"> represent independent evaluation</w:t>
      </w:r>
      <w:r w:rsidR="00441AED">
        <w:t>s</w:t>
      </w:r>
      <w:r w:rsidR="00FB65E9">
        <w:t xml:space="preserve"> of implementation, </w:t>
      </w:r>
      <w:r w:rsidR="00B02303">
        <w:t xml:space="preserve">useful for </w:t>
      </w:r>
      <w:r w:rsidR="00FB65E9">
        <w:t>affirm</w:t>
      </w:r>
      <w:r w:rsidR="00B02303">
        <w:t>ing</w:t>
      </w:r>
      <w:r w:rsidR="00FB65E9">
        <w:t xml:space="preserve"> conclusions or correct</w:t>
      </w:r>
      <w:r w:rsidR="00B02303">
        <w:t>ing</w:t>
      </w:r>
      <w:r w:rsidR="00FB65E9">
        <w:t xml:space="preserve"> errors in the current statements</w:t>
      </w:r>
      <w:r w:rsidR="00507FDD">
        <w:t xml:space="preserve">. This experience </w:t>
      </w:r>
      <w:r w:rsidR="00B02303">
        <w:t xml:space="preserve">also </w:t>
      </w:r>
      <w:r w:rsidR="00507FDD">
        <w:t xml:space="preserve">informs financial preparation </w:t>
      </w:r>
      <w:r w:rsidR="00B02303">
        <w:t xml:space="preserve">and </w:t>
      </w:r>
      <w:r w:rsidR="00441AED">
        <w:t xml:space="preserve">processes for evaluating and implementing </w:t>
      </w:r>
      <w:r w:rsidR="00B02303">
        <w:t>new</w:t>
      </w:r>
      <w:r w:rsidR="00441AED">
        <w:t xml:space="preserve"> </w:t>
      </w:r>
      <w:r w:rsidR="00B02303">
        <w:t>standard</w:t>
      </w:r>
      <w:r w:rsidR="00441AED">
        <w:t>s</w:t>
      </w:r>
      <w:r w:rsidR="00B02303">
        <w:t xml:space="preserve"> for</w:t>
      </w:r>
      <w:r w:rsidR="00507FDD">
        <w:t xml:space="preserve"> future periods.</w:t>
      </w:r>
    </w:p>
    <w:p w14:paraId="3C451BC9" w14:textId="7F0FDC02" w:rsidR="00947623" w:rsidRDefault="00947623" w:rsidP="00A2102F">
      <w:pPr>
        <w:pStyle w:val="ListParagraph"/>
        <w:numPr>
          <w:ilvl w:val="0"/>
          <w:numId w:val="1"/>
        </w:numPr>
        <w:spacing w:after="120"/>
      </w:pPr>
      <w:r>
        <w:t>Auditors will communicate independently with the governing body. However, management’s response to any issues</w:t>
      </w:r>
      <w:r w:rsidR="00301F75">
        <w:t xml:space="preserve"> noted</w:t>
      </w:r>
      <w:r>
        <w:t xml:space="preserve"> is an opportunity</w:t>
      </w:r>
      <w:r w:rsidR="00C4119D">
        <w:t xml:space="preserve"> to demonstrate accountability and a commitment to continuous improvement</w:t>
      </w:r>
      <w:r>
        <w:t xml:space="preserve">. Moreover, communications with the governing body in previous phases can help set appropriate expectations for audit results and the need for adjustments. </w:t>
      </w:r>
      <w:r w:rsidR="00301F75">
        <w:t>For example, t</w:t>
      </w:r>
      <w:r>
        <w:t xml:space="preserve">he resources a governing body dedicates to financial reporting should be comparable </w:t>
      </w:r>
      <w:r w:rsidR="00377F4D">
        <w:t xml:space="preserve">to </w:t>
      </w:r>
      <w:r>
        <w:t xml:space="preserve">the </w:t>
      </w:r>
      <w:r w:rsidR="00377F4D">
        <w:t xml:space="preserve">government’s </w:t>
      </w:r>
      <w:r>
        <w:t>size and complexity as well as the risk tolerance for the financial reporting objective. If the tolerance is high, the governing body should expect a higher likelihood of audit issues and needed adjustments, particularly with new standards.</w:t>
      </w:r>
    </w:p>
    <w:p w14:paraId="54DCAAD6" w14:textId="522E6D2A" w:rsidR="000854D5" w:rsidRPr="00507FDD" w:rsidRDefault="00E25DEB" w:rsidP="00A2102F">
      <w:pPr>
        <w:pStyle w:val="ListParagraph"/>
        <w:numPr>
          <w:ilvl w:val="0"/>
          <w:numId w:val="1"/>
        </w:numPr>
        <w:spacing w:after="120"/>
      </w:pPr>
      <w:r w:rsidRPr="00507FDD">
        <w:t xml:space="preserve">New reporting may </w:t>
      </w:r>
      <w:r w:rsidR="00CA31DE">
        <w:t xml:space="preserve">lead to </w:t>
      </w:r>
      <w:r w:rsidR="00947623" w:rsidRPr="00507FDD">
        <w:t xml:space="preserve">new systems and data collection processes. It may also mean </w:t>
      </w:r>
      <w:r w:rsidR="000F0AED">
        <w:br/>
      </w:r>
      <w:r w:rsidRPr="00507FDD">
        <w:t>work-</w:t>
      </w:r>
      <w:proofErr w:type="spellStart"/>
      <w:r w:rsidRPr="00507FDD">
        <w:t>arounds</w:t>
      </w:r>
      <w:proofErr w:type="spellEnd"/>
      <w:r w:rsidR="00947623" w:rsidRPr="00507FDD">
        <w:t>, manual processing or</w:t>
      </w:r>
      <w:r w:rsidRPr="00507FDD">
        <w:t xml:space="preserve"> off-book adjustments</w:t>
      </w:r>
      <w:r w:rsidR="00947623" w:rsidRPr="00507FDD">
        <w:t>. Accordingly, the financial statement preparation</w:t>
      </w:r>
      <w:r w:rsidRPr="00507FDD">
        <w:t xml:space="preserve"> team should solicit </w:t>
      </w:r>
      <w:r w:rsidR="00947623" w:rsidRPr="00507FDD">
        <w:t xml:space="preserve">internal </w:t>
      </w:r>
      <w:r w:rsidRPr="00507FDD">
        <w:t xml:space="preserve">feedback </w:t>
      </w:r>
      <w:r w:rsidR="00947623" w:rsidRPr="00507FDD">
        <w:t>and</w:t>
      </w:r>
      <w:r w:rsidRPr="00507FDD">
        <w:t xml:space="preserve"> discuss how </w:t>
      </w:r>
      <w:r w:rsidR="00CA31DE">
        <w:t xml:space="preserve">to streamline </w:t>
      </w:r>
      <w:r w:rsidRPr="00507FDD">
        <w:t>process</w:t>
      </w:r>
      <w:r w:rsidR="00947623" w:rsidRPr="00507FDD">
        <w:t>es</w:t>
      </w:r>
      <w:r w:rsidRPr="00507FDD">
        <w:t xml:space="preserve"> in </w:t>
      </w:r>
      <w:r w:rsidR="00104AAF">
        <w:t xml:space="preserve">the </w:t>
      </w:r>
      <w:r w:rsidRPr="00507FDD">
        <w:t xml:space="preserve">future. </w:t>
      </w:r>
      <w:r w:rsidR="00377F4D">
        <w:t>P</w:t>
      </w:r>
      <w:r w:rsidR="00507FDD" w:rsidRPr="00507FDD">
        <w:t xml:space="preserve">rocess improvement </w:t>
      </w:r>
      <w:r w:rsidRPr="00507FDD">
        <w:t xml:space="preserve">methods may be useful for </w:t>
      </w:r>
      <w:r w:rsidR="00CA31DE" w:rsidRPr="00507FDD">
        <w:t>particularly time-consuming</w:t>
      </w:r>
      <w:r w:rsidR="00CA31DE">
        <w:t xml:space="preserve"> </w:t>
      </w:r>
      <w:r w:rsidR="00301F75">
        <w:t>issues</w:t>
      </w:r>
      <w:r w:rsidRPr="00507FDD">
        <w:t>.</w:t>
      </w:r>
    </w:p>
    <w:p w14:paraId="562A3F22" w14:textId="4CD9C946" w:rsidR="00256FF9" w:rsidRDefault="000854D5" w:rsidP="00A2102F">
      <w:pPr>
        <w:pStyle w:val="ListParagraph"/>
        <w:numPr>
          <w:ilvl w:val="0"/>
          <w:numId w:val="1"/>
        </w:numPr>
        <w:spacing w:after="120"/>
      </w:pPr>
      <w:r>
        <w:t xml:space="preserve">Making adjustments should be viewed as a necessary and valuable part of the process. When audit results are clean or minimal, it is an opportunity to celebrate. When audit results or internal feedback </w:t>
      </w:r>
      <w:r w:rsidR="00E25DEB">
        <w:t>identifies accuracy or efficiency problems, it is an opportunity to promote a good control environment by responding appropriately.</w:t>
      </w:r>
    </w:p>
    <w:p w14:paraId="66C24045" w14:textId="54E34D6A" w:rsidR="00731514" w:rsidRPr="006A1118" w:rsidRDefault="00256FF9" w:rsidP="00A2102F">
      <w:pPr>
        <w:spacing w:before="300"/>
      </w:pPr>
      <w:r w:rsidRPr="00A2102F">
        <w:rPr>
          <w:i/>
          <w:sz w:val="20"/>
        </w:rPr>
        <w:t xml:space="preserve">This is an abbreviated version of an article by Scott </w:t>
      </w:r>
      <w:proofErr w:type="spellStart"/>
      <w:r w:rsidRPr="00A2102F">
        <w:rPr>
          <w:i/>
          <w:sz w:val="20"/>
        </w:rPr>
        <w:t>DeViney</w:t>
      </w:r>
      <w:proofErr w:type="spellEnd"/>
      <w:r w:rsidRPr="00A2102F">
        <w:rPr>
          <w:i/>
          <w:sz w:val="20"/>
        </w:rPr>
        <w:t xml:space="preserve">, CPA published in the </w:t>
      </w:r>
      <w:r w:rsidRPr="00A2102F">
        <w:rPr>
          <w:iCs/>
          <w:sz w:val="20"/>
        </w:rPr>
        <w:t>Journal of Government Financial Management</w:t>
      </w:r>
      <w:r w:rsidRPr="00A2102F">
        <w:rPr>
          <w:i/>
          <w:sz w:val="20"/>
        </w:rPr>
        <w:t xml:space="preserve">, summer 2017; vol. 66, no. 2. Copyright (2017). Association of Government Accountants. All rights reserved. </w:t>
      </w:r>
      <w:hyperlink r:id="rId10" w:history="1">
        <w:r w:rsidRPr="00256FF9">
          <w:rPr>
            <w:rStyle w:val="Hyperlink"/>
            <w:i/>
            <w:sz w:val="20"/>
          </w:rPr>
          <w:t>www.agacgfm.org</w:t>
        </w:r>
      </w:hyperlink>
      <w:r w:rsidRPr="00A2102F">
        <w:rPr>
          <w:i/>
          <w:sz w:val="20"/>
        </w:rPr>
        <w:t xml:space="preserve"> </w:t>
      </w:r>
    </w:p>
    <w:sectPr w:rsidR="00731514" w:rsidRPr="006A1118" w:rsidSect="00A2102F">
      <w:headerReference w:type="default" r:id="rId11"/>
      <w:headerReference w:type="first" r:id="rId12"/>
      <w:endnotePr>
        <w:numFmt w:val="decimal"/>
      </w:endnotePr>
      <w:pgSz w:w="12240" w:h="15840"/>
      <w:pgMar w:top="1152" w:right="1152" w:bottom="1152" w:left="1152"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70F16" w14:textId="77777777" w:rsidR="00D06ABC" w:rsidRDefault="00D06ABC" w:rsidP="002A6EC5">
      <w:pPr>
        <w:spacing w:after="0" w:line="240" w:lineRule="auto"/>
      </w:pPr>
      <w:r>
        <w:separator/>
      </w:r>
    </w:p>
  </w:endnote>
  <w:endnote w:type="continuationSeparator" w:id="0">
    <w:p w14:paraId="0EC58314" w14:textId="77777777" w:rsidR="00D06ABC" w:rsidRDefault="00D06ABC" w:rsidP="002A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94E64" w14:textId="77777777" w:rsidR="00D06ABC" w:rsidRDefault="00D06ABC" w:rsidP="002A6EC5">
      <w:pPr>
        <w:spacing w:after="0" w:line="240" w:lineRule="auto"/>
      </w:pPr>
      <w:r>
        <w:separator/>
      </w:r>
    </w:p>
  </w:footnote>
  <w:footnote w:type="continuationSeparator" w:id="0">
    <w:p w14:paraId="25C9C950" w14:textId="77777777" w:rsidR="00D06ABC" w:rsidRDefault="00D06ABC" w:rsidP="002A6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176D9" w14:textId="75597697" w:rsidR="00343119" w:rsidRDefault="00343119">
    <w:pPr>
      <w:pStyle w:val="Header"/>
    </w:pPr>
  </w:p>
  <w:p w14:paraId="03ECDC04" w14:textId="77777777" w:rsidR="00343119" w:rsidRDefault="00343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ACA0F" w14:textId="6D0E9767" w:rsidR="00797CB6" w:rsidRDefault="00797CB6">
    <w:pPr>
      <w:pStyle w:val="Header"/>
    </w:pPr>
  </w:p>
  <w:p w14:paraId="63D3399C" w14:textId="77777777" w:rsidR="00256FF9" w:rsidRPr="00256FF9" w:rsidRDefault="00256FF9">
    <w:pPr>
      <w:pStyle w:val="Header"/>
    </w:pPr>
  </w:p>
  <w:p w14:paraId="64F25B52" w14:textId="77777777" w:rsidR="00797CB6" w:rsidRDefault="00797CB6">
    <w:pPr>
      <w:pStyle w:val="Header"/>
    </w:pPr>
  </w:p>
  <w:p w14:paraId="46426EFB" w14:textId="780C9D85" w:rsidR="00797CB6" w:rsidRDefault="00797CB6">
    <w:pPr>
      <w:pStyle w:val="Header"/>
    </w:pPr>
    <w:r>
      <w:rPr>
        <w:noProof/>
      </w:rPr>
      <w:drawing>
        <wp:inline distT="0" distB="0" distL="0" distR="0" wp14:anchorId="1703EE3B" wp14:editId="7BABE3B9">
          <wp:extent cx="6309360" cy="92118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nner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9360" cy="921186"/>
                  </a:xfrm>
                  <a:prstGeom prst="rect">
                    <a:avLst/>
                  </a:prstGeom>
                </pic:spPr>
              </pic:pic>
            </a:graphicData>
          </a:graphic>
        </wp:inline>
      </w:drawing>
    </w:r>
  </w:p>
  <w:p w14:paraId="74427036" w14:textId="35194929" w:rsidR="00343119" w:rsidRPr="00A2102F" w:rsidRDefault="00343119">
    <w:pPr>
      <w:pStyle w:val="Header"/>
      <w:rPr>
        <w:sz w:val="14"/>
      </w:rPr>
    </w:pPr>
  </w:p>
  <w:p w14:paraId="26187559" w14:textId="77777777" w:rsidR="00797CB6" w:rsidRDefault="00797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428EA"/>
    <w:multiLevelType w:val="hybridMultilevel"/>
    <w:tmpl w:val="8CB8E126"/>
    <w:lvl w:ilvl="0" w:tplc="6F825704">
      <w:numFmt w:val="bullet"/>
      <w:lvlText w:val=""/>
      <w:lvlJc w:val="left"/>
      <w:pPr>
        <w:ind w:left="720" w:hanging="360"/>
      </w:pPr>
      <w:rPr>
        <w:rFonts w:ascii="Wingdings 2" w:eastAsia="Calibri" w:hAnsi="Wingdings 2"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777D82"/>
    <w:multiLevelType w:val="hybridMultilevel"/>
    <w:tmpl w:val="E5A22A8C"/>
    <w:lvl w:ilvl="0" w:tplc="FB849CE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84EF4"/>
    <w:multiLevelType w:val="hybridMultilevel"/>
    <w:tmpl w:val="4A029276"/>
    <w:lvl w:ilvl="0" w:tplc="6F825704">
      <w:numFmt w:val="bullet"/>
      <w:lvlText w:val=""/>
      <w:lvlJc w:val="left"/>
      <w:pPr>
        <w:ind w:left="720" w:hanging="360"/>
      </w:pPr>
      <w:rPr>
        <w:rFonts w:ascii="Wingdings 2" w:eastAsia="Calibri" w:hAnsi="Wingdings 2" w:cs="Times New Roman" w:hint="default"/>
      </w:rPr>
    </w:lvl>
    <w:lvl w:ilvl="1" w:tplc="7D34D06E">
      <w:start w:val="110"/>
      <w:numFmt w:val="bullet"/>
      <w:lvlText w:val=""/>
      <w:lvlJc w:val="left"/>
      <w:pPr>
        <w:ind w:left="1440" w:hanging="360"/>
      </w:pPr>
      <w:rPr>
        <w:rFonts w:ascii="Wingdings" w:hAnsi="Wingdings" w:hint="default"/>
        <w:sz w:val="1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22A2B4F"/>
    <w:multiLevelType w:val="hybridMultilevel"/>
    <w:tmpl w:val="5DC4BBEA"/>
    <w:lvl w:ilvl="0" w:tplc="474CADB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34"/>
    <w:rsid w:val="000031BF"/>
    <w:rsid w:val="00012A90"/>
    <w:rsid w:val="00067441"/>
    <w:rsid w:val="000736BD"/>
    <w:rsid w:val="000854D5"/>
    <w:rsid w:val="00091CCB"/>
    <w:rsid w:val="000F0AED"/>
    <w:rsid w:val="00104AAF"/>
    <w:rsid w:val="001141E4"/>
    <w:rsid w:val="00114754"/>
    <w:rsid w:val="00121ACA"/>
    <w:rsid w:val="00136B40"/>
    <w:rsid w:val="00140C92"/>
    <w:rsid w:val="001A51A0"/>
    <w:rsid w:val="00222548"/>
    <w:rsid w:val="002401B7"/>
    <w:rsid w:val="00256FF9"/>
    <w:rsid w:val="002A6EC5"/>
    <w:rsid w:val="002B63D3"/>
    <w:rsid w:val="002B6BB8"/>
    <w:rsid w:val="002F0240"/>
    <w:rsid w:val="00301F75"/>
    <w:rsid w:val="00343119"/>
    <w:rsid w:val="00364279"/>
    <w:rsid w:val="00365BE1"/>
    <w:rsid w:val="00377F4D"/>
    <w:rsid w:val="003974C2"/>
    <w:rsid w:val="003F102D"/>
    <w:rsid w:val="003F1388"/>
    <w:rsid w:val="004104BE"/>
    <w:rsid w:val="00430127"/>
    <w:rsid w:val="00441AED"/>
    <w:rsid w:val="004679A0"/>
    <w:rsid w:val="004C4195"/>
    <w:rsid w:val="004D0A70"/>
    <w:rsid w:val="004F0B1C"/>
    <w:rsid w:val="00507FDD"/>
    <w:rsid w:val="00545E10"/>
    <w:rsid w:val="005508C7"/>
    <w:rsid w:val="00567034"/>
    <w:rsid w:val="00571EB4"/>
    <w:rsid w:val="00575D47"/>
    <w:rsid w:val="00596839"/>
    <w:rsid w:val="005A0827"/>
    <w:rsid w:val="005B6730"/>
    <w:rsid w:val="005C1673"/>
    <w:rsid w:val="005D3FCD"/>
    <w:rsid w:val="005D591A"/>
    <w:rsid w:val="00612E65"/>
    <w:rsid w:val="00617616"/>
    <w:rsid w:val="00652F76"/>
    <w:rsid w:val="00674DA8"/>
    <w:rsid w:val="00675534"/>
    <w:rsid w:val="006865B2"/>
    <w:rsid w:val="006867FA"/>
    <w:rsid w:val="006A1118"/>
    <w:rsid w:val="007045F1"/>
    <w:rsid w:val="00726ED2"/>
    <w:rsid w:val="00731514"/>
    <w:rsid w:val="00732366"/>
    <w:rsid w:val="00797CB6"/>
    <w:rsid w:val="007E08C1"/>
    <w:rsid w:val="007E1E4E"/>
    <w:rsid w:val="007F337A"/>
    <w:rsid w:val="00831143"/>
    <w:rsid w:val="00856F56"/>
    <w:rsid w:val="00883739"/>
    <w:rsid w:val="00922EDC"/>
    <w:rsid w:val="009279FD"/>
    <w:rsid w:val="00936295"/>
    <w:rsid w:val="00941C67"/>
    <w:rsid w:val="00947623"/>
    <w:rsid w:val="00956E59"/>
    <w:rsid w:val="009A23EB"/>
    <w:rsid w:val="009B6248"/>
    <w:rsid w:val="009D63BA"/>
    <w:rsid w:val="009F76C3"/>
    <w:rsid w:val="00A03781"/>
    <w:rsid w:val="00A14E0C"/>
    <w:rsid w:val="00A2102F"/>
    <w:rsid w:val="00AE0738"/>
    <w:rsid w:val="00B02303"/>
    <w:rsid w:val="00B22009"/>
    <w:rsid w:val="00BF0C5A"/>
    <w:rsid w:val="00C4119D"/>
    <w:rsid w:val="00CA31DE"/>
    <w:rsid w:val="00D06ABC"/>
    <w:rsid w:val="00D06FBF"/>
    <w:rsid w:val="00D303CD"/>
    <w:rsid w:val="00D41AD7"/>
    <w:rsid w:val="00D551A2"/>
    <w:rsid w:val="00D630FE"/>
    <w:rsid w:val="00D669AF"/>
    <w:rsid w:val="00DA39F1"/>
    <w:rsid w:val="00E02035"/>
    <w:rsid w:val="00E25DEB"/>
    <w:rsid w:val="00E43A7D"/>
    <w:rsid w:val="00E95B8D"/>
    <w:rsid w:val="00F90677"/>
    <w:rsid w:val="00FB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A07BF"/>
  <w15:docId w15:val="{71350BA1-B9C7-4D18-8CC9-065BFF34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534"/>
    <w:pPr>
      <w:spacing w:after="0" w:line="240" w:lineRule="auto"/>
      <w:ind w:left="720"/>
    </w:pPr>
    <w:rPr>
      <w:rFonts w:ascii="Calibri" w:hAnsi="Calibri" w:cs="Times New Roman"/>
    </w:rPr>
  </w:style>
  <w:style w:type="table" w:styleId="TableGrid">
    <w:name w:val="Table Grid"/>
    <w:basedOn w:val="TableNormal"/>
    <w:uiPriority w:val="59"/>
    <w:rsid w:val="00A14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6ED2"/>
    <w:rPr>
      <w:color w:val="0000FF" w:themeColor="hyperlink"/>
      <w:u w:val="single"/>
    </w:rPr>
  </w:style>
  <w:style w:type="paragraph" w:styleId="EndnoteText">
    <w:name w:val="endnote text"/>
    <w:basedOn w:val="Normal"/>
    <w:link w:val="EndnoteTextChar"/>
    <w:uiPriority w:val="99"/>
    <w:semiHidden/>
    <w:unhideWhenUsed/>
    <w:rsid w:val="002A6E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6EC5"/>
    <w:rPr>
      <w:sz w:val="20"/>
      <w:szCs w:val="20"/>
    </w:rPr>
  </w:style>
  <w:style w:type="character" w:styleId="EndnoteReference">
    <w:name w:val="endnote reference"/>
    <w:basedOn w:val="DefaultParagraphFont"/>
    <w:uiPriority w:val="99"/>
    <w:semiHidden/>
    <w:unhideWhenUsed/>
    <w:rsid w:val="002A6EC5"/>
    <w:rPr>
      <w:vertAlign w:val="superscript"/>
    </w:rPr>
  </w:style>
  <w:style w:type="character" w:styleId="CommentReference">
    <w:name w:val="annotation reference"/>
    <w:basedOn w:val="DefaultParagraphFont"/>
    <w:uiPriority w:val="99"/>
    <w:semiHidden/>
    <w:unhideWhenUsed/>
    <w:rsid w:val="007E08C1"/>
    <w:rPr>
      <w:sz w:val="16"/>
      <w:szCs w:val="16"/>
    </w:rPr>
  </w:style>
  <w:style w:type="paragraph" w:styleId="CommentText">
    <w:name w:val="annotation text"/>
    <w:basedOn w:val="Normal"/>
    <w:link w:val="CommentTextChar"/>
    <w:uiPriority w:val="99"/>
    <w:semiHidden/>
    <w:unhideWhenUsed/>
    <w:rsid w:val="007E08C1"/>
    <w:pPr>
      <w:spacing w:line="240" w:lineRule="auto"/>
    </w:pPr>
    <w:rPr>
      <w:sz w:val="20"/>
      <w:szCs w:val="20"/>
    </w:rPr>
  </w:style>
  <w:style w:type="character" w:customStyle="1" w:styleId="CommentTextChar">
    <w:name w:val="Comment Text Char"/>
    <w:basedOn w:val="DefaultParagraphFont"/>
    <w:link w:val="CommentText"/>
    <w:uiPriority w:val="99"/>
    <w:semiHidden/>
    <w:rsid w:val="007E08C1"/>
    <w:rPr>
      <w:sz w:val="20"/>
      <w:szCs w:val="20"/>
    </w:rPr>
  </w:style>
  <w:style w:type="paragraph" w:styleId="CommentSubject">
    <w:name w:val="annotation subject"/>
    <w:basedOn w:val="CommentText"/>
    <w:next w:val="CommentText"/>
    <w:link w:val="CommentSubjectChar"/>
    <w:uiPriority w:val="99"/>
    <w:semiHidden/>
    <w:unhideWhenUsed/>
    <w:rsid w:val="007E08C1"/>
    <w:rPr>
      <w:b/>
      <w:bCs/>
    </w:rPr>
  </w:style>
  <w:style w:type="character" w:customStyle="1" w:styleId="CommentSubjectChar">
    <w:name w:val="Comment Subject Char"/>
    <w:basedOn w:val="CommentTextChar"/>
    <w:link w:val="CommentSubject"/>
    <w:uiPriority w:val="99"/>
    <w:semiHidden/>
    <w:rsid w:val="007E08C1"/>
    <w:rPr>
      <w:b/>
      <w:bCs/>
      <w:sz w:val="20"/>
      <w:szCs w:val="20"/>
    </w:rPr>
  </w:style>
  <w:style w:type="paragraph" w:styleId="BalloonText">
    <w:name w:val="Balloon Text"/>
    <w:basedOn w:val="Normal"/>
    <w:link w:val="BalloonTextChar"/>
    <w:uiPriority w:val="99"/>
    <w:semiHidden/>
    <w:unhideWhenUsed/>
    <w:rsid w:val="007E0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8C1"/>
    <w:rPr>
      <w:rFonts w:ascii="Segoe UI" w:hAnsi="Segoe UI" w:cs="Segoe UI"/>
      <w:sz w:val="18"/>
      <w:szCs w:val="18"/>
    </w:rPr>
  </w:style>
  <w:style w:type="character" w:styleId="FollowedHyperlink">
    <w:name w:val="FollowedHyperlink"/>
    <w:basedOn w:val="DefaultParagraphFont"/>
    <w:uiPriority w:val="99"/>
    <w:semiHidden/>
    <w:unhideWhenUsed/>
    <w:rsid w:val="00136B40"/>
    <w:rPr>
      <w:color w:val="800080" w:themeColor="followedHyperlink"/>
      <w:u w:val="single"/>
    </w:rPr>
  </w:style>
  <w:style w:type="paragraph" w:styleId="FootnoteText">
    <w:name w:val="footnote text"/>
    <w:basedOn w:val="Normal"/>
    <w:link w:val="FootnoteTextChar"/>
    <w:uiPriority w:val="99"/>
    <w:semiHidden/>
    <w:unhideWhenUsed/>
    <w:rsid w:val="00E020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2035"/>
    <w:rPr>
      <w:sz w:val="20"/>
      <w:szCs w:val="20"/>
    </w:rPr>
  </w:style>
  <w:style w:type="character" w:styleId="FootnoteReference">
    <w:name w:val="footnote reference"/>
    <w:basedOn w:val="DefaultParagraphFont"/>
    <w:uiPriority w:val="99"/>
    <w:semiHidden/>
    <w:unhideWhenUsed/>
    <w:rsid w:val="00E02035"/>
    <w:rPr>
      <w:vertAlign w:val="superscript"/>
    </w:rPr>
  </w:style>
  <w:style w:type="paragraph" w:styleId="Revision">
    <w:name w:val="Revision"/>
    <w:hidden/>
    <w:uiPriority w:val="99"/>
    <w:semiHidden/>
    <w:rsid w:val="009279FD"/>
    <w:pPr>
      <w:spacing w:after="0" w:line="240" w:lineRule="auto"/>
    </w:pPr>
  </w:style>
  <w:style w:type="paragraph" w:styleId="Header">
    <w:name w:val="header"/>
    <w:basedOn w:val="Normal"/>
    <w:link w:val="HeaderChar"/>
    <w:uiPriority w:val="99"/>
    <w:unhideWhenUsed/>
    <w:rsid w:val="00343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119"/>
  </w:style>
  <w:style w:type="paragraph" w:styleId="Footer">
    <w:name w:val="footer"/>
    <w:basedOn w:val="Normal"/>
    <w:link w:val="FooterChar"/>
    <w:uiPriority w:val="99"/>
    <w:unhideWhenUsed/>
    <w:rsid w:val="00343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64375">
      <w:bodyDiv w:val="1"/>
      <w:marLeft w:val="0"/>
      <w:marRight w:val="0"/>
      <w:marTop w:val="0"/>
      <w:marBottom w:val="0"/>
      <w:divBdr>
        <w:top w:val="none" w:sz="0" w:space="0" w:color="auto"/>
        <w:left w:val="none" w:sz="0" w:space="0" w:color="auto"/>
        <w:bottom w:val="none" w:sz="0" w:space="0" w:color="auto"/>
        <w:right w:val="none" w:sz="0" w:space="0" w:color="auto"/>
      </w:divBdr>
    </w:div>
    <w:div w:id="1430395672">
      <w:bodyDiv w:val="1"/>
      <w:marLeft w:val="0"/>
      <w:marRight w:val="0"/>
      <w:marTop w:val="0"/>
      <w:marBottom w:val="0"/>
      <w:divBdr>
        <w:top w:val="none" w:sz="0" w:space="0" w:color="auto"/>
        <w:left w:val="none" w:sz="0" w:space="0" w:color="auto"/>
        <w:bottom w:val="none" w:sz="0" w:space="0" w:color="auto"/>
        <w:right w:val="none" w:sz="0" w:space="0" w:color="auto"/>
      </w:divBdr>
    </w:div>
    <w:div w:id="17477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sao.wa.gov/PerformanceCen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gacgfm.org" TargetMode="External"/><Relationship Id="rId4" Type="http://schemas.openxmlformats.org/officeDocument/2006/relationships/settings" Target="settings.xml"/><Relationship Id="rId9" Type="http://schemas.openxmlformats.org/officeDocument/2006/relationships/hyperlink" Target="http://www.sao.wa.gov/local/BarsManual/GAAP/Pages/GAAP_ReportingNotes.asp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C7C25-5471-470A-B2DE-799EB77C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State Auditor's Office</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Deviney</dc:creator>
  <cp:keywords/>
  <dc:description/>
  <cp:lastModifiedBy>Thomas Oliver</cp:lastModifiedBy>
  <cp:revision>2</cp:revision>
  <cp:lastPrinted>2017-08-16T23:44:00Z</cp:lastPrinted>
  <dcterms:created xsi:type="dcterms:W3CDTF">2019-10-29T17:01:00Z</dcterms:created>
  <dcterms:modified xsi:type="dcterms:W3CDTF">2019-10-29T17:01:00Z</dcterms:modified>
</cp:coreProperties>
</file>