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EA42" w14:textId="73457F38" w:rsidR="00546094" w:rsidRPr="00546094" w:rsidRDefault="00546094" w:rsidP="00546094">
      <w:pPr>
        <w:tabs>
          <w:tab w:val="left" w:pos="0"/>
          <w:tab w:val="left" w:pos="1170"/>
        </w:tabs>
        <w:rPr>
          <w:sz w:val="40"/>
          <w:szCs w:val="40"/>
        </w:rPr>
      </w:pPr>
      <w:r w:rsidRPr="00546094">
        <w:rPr>
          <w:sz w:val="40"/>
          <w:szCs w:val="40"/>
        </w:rPr>
        <w:t>Questions received from CBS for the 2025 fall meeting</w:t>
      </w:r>
    </w:p>
    <w:p w14:paraId="786FF48C" w14:textId="77777777" w:rsidR="00546094" w:rsidRDefault="00546094" w:rsidP="00546094">
      <w:pPr>
        <w:rPr>
          <w:sz w:val="32"/>
          <w:szCs w:val="32"/>
        </w:rPr>
      </w:pPr>
    </w:p>
    <w:p w14:paraId="204A2045" w14:textId="77777777" w:rsidR="00546094" w:rsidRDefault="00546094" w:rsidP="00546094">
      <w:pPr>
        <w:pStyle w:val="ListParagraph"/>
        <w:numPr>
          <w:ilvl w:val="0"/>
          <w:numId w:val="1"/>
        </w:numPr>
        <w:rPr>
          <w:rFonts w:ascii="Calibri" w:hAnsi="Calibri" w:cs="Calibri"/>
          <w:sz w:val="28"/>
          <w:szCs w:val="28"/>
        </w:rPr>
      </w:pPr>
      <w:proofErr w:type="gramStart"/>
      <w:r w:rsidRPr="00546094">
        <w:rPr>
          <w:rFonts w:ascii="Calibri" w:hAnsi="Calibri" w:cs="Calibri"/>
          <w:sz w:val="28"/>
          <w:szCs w:val="28"/>
        </w:rPr>
        <w:t>In light of</w:t>
      </w:r>
      <w:proofErr w:type="gramEnd"/>
      <w:r w:rsidRPr="00546094">
        <w:rPr>
          <w:rFonts w:ascii="Calibri" w:hAnsi="Calibri" w:cs="Calibri"/>
          <w:sz w:val="28"/>
          <w:szCs w:val="28"/>
        </w:rPr>
        <w:t xml:space="preserve"> the administrative changes--What are the actual requirements for the restricted </w:t>
      </w:r>
      <w:proofErr w:type="gramStart"/>
      <w:r w:rsidRPr="00546094">
        <w:rPr>
          <w:rFonts w:ascii="Calibri" w:hAnsi="Calibri" w:cs="Calibri"/>
          <w:sz w:val="28"/>
          <w:szCs w:val="28"/>
        </w:rPr>
        <w:t>visa's</w:t>
      </w:r>
      <w:proofErr w:type="gramEnd"/>
      <w:r w:rsidRPr="00546094">
        <w:rPr>
          <w:rFonts w:ascii="Calibri" w:hAnsi="Calibri" w:cs="Calibri"/>
          <w:sz w:val="28"/>
          <w:szCs w:val="28"/>
        </w:rPr>
        <w:t xml:space="preserve">? Is posting </w:t>
      </w:r>
      <w:proofErr w:type="gramStart"/>
      <w:r w:rsidRPr="00546094">
        <w:rPr>
          <w:rFonts w:ascii="Calibri" w:hAnsi="Calibri" w:cs="Calibri"/>
          <w:sz w:val="28"/>
          <w:szCs w:val="28"/>
        </w:rPr>
        <w:t>the non</w:t>
      </w:r>
      <w:proofErr w:type="gramEnd"/>
      <w:r w:rsidRPr="00546094">
        <w:rPr>
          <w:rFonts w:ascii="Calibri" w:hAnsi="Calibri" w:cs="Calibri"/>
          <w:sz w:val="28"/>
          <w:szCs w:val="28"/>
        </w:rPr>
        <w:t xml:space="preserve">-eligible information on the website and/or classroom doors enough? </w:t>
      </w:r>
      <w:proofErr w:type="gramStart"/>
      <w:r w:rsidRPr="00546094">
        <w:rPr>
          <w:rFonts w:ascii="Calibri" w:hAnsi="Calibri" w:cs="Calibri"/>
          <w:sz w:val="28"/>
          <w:szCs w:val="28"/>
        </w:rPr>
        <w:t>do</w:t>
      </w:r>
      <w:proofErr w:type="gramEnd"/>
      <w:r w:rsidRPr="00546094">
        <w:rPr>
          <w:rFonts w:ascii="Calibri" w:hAnsi="Calibri" w:cs="Calibri"/>
          <w:sz w:val="28"/>
          <w:szCs w:val="28"/>
        </w:rPr>
        <w:t xml:space="preserve"> we need this question listed anywhere? Should we be asking or posting at all?</w:t>
      </w:r>
    </w:p>
    <w:p w14:paraId="391B7F92" w14:textId="53D169FC" w:rsidR="00420EE0" w:rsidRPr="004F7610" w:rsidRDefault="00420EE0" w:rsidP="00420EE0">
      <w:pPr>
        <w:pStyle w:val="ListParagraph"/>
        <w:rPr>
          <w:rFonts w:ascii="Calibri" w:hAnsi="Calibri" w:cs="Calibri"/>
          <w:sz w:val="28"/>
          <w:szCs w:val="28"/>
          <w:highlight w:val="yellow"/>
        </w:rPr>
      </w:pPr>
      <w:hyperlink r:id="rId5" w:history="1">
        <w:r w:rsidRPr="004F7610">
          <w:rPr>
            <w:rStyle w:val="Hyperlink"/>
            <w:rFonts w:ascii="Calibri" w:hAnsi="Calibri" w:cs="Calibri"/>
            <w:sz w:val="28"/>
            <w:szCs w:val="28"/>
            <w:highlight w:val="yellow"/>
          </w:rPr>
          <w:t>State Board Policy 3</w:t>
        </w:r>
      </w:hyperlink>
      <w:r w:rsidRPr="004F7610">
        <w:rPr>
          <w:rFonts w:ascii="Calibri" w:hAnsi="Calibri" w:cs="Calibri"/>
          <w:sz w:val="28"/>
          <w:szCs w:val="28"/>
          <w:highlight w:val="yellow"/>
        </w:rPr>
        <w:t>.20.</w:t>
      </w:r>
      <w:proofErr w:type="gramStart"/>
      <w:r w:rsidRPr="004F7610">
        <w:rPr>
          <w:rFonts w:ascii="Calibri" w:hAnsi="Calibri" w:cs="Calibri"/>
          <w:sz w:val="28"/>
          <w:szCs w:val="28"/>
          <w:highlight w:val="yellow"/>
        </w:rPr>
        <w:t>10.F</w:t>
      </w:r>
      <w:proofErr w:type="gramEnd"/>
      <w:r w:rsidRPr="004F7610">
        <w:rPr>
          <w:rFonts w:ascii="Calibri" w:hAnsi="Calibri" w:cs="Calibri"/>
          <w:sz w:val="28"/>
          <w:szCs w:val="28"/>
          <w:highlight w:val="yellow"/>
        </w:rPr>
        <w:t xml:space="preserve"> prohibits colleges from determining residency for student</w:t>
      </w:r>
      <w:r w:rsidR="00570E34">
        <w:rPr>
          <w:rFonts w:ascii="Calibri" w:hAnsi="Calibri" w:cs="Calibri"/>
          <w:sz w:val="28"/>
          <w:szCs w:val="28"/>
          <w:highlight w:val="yellow"/>
        </w:rPr>
        <w:t>s</w:t>
      </w:r>
      <w:r w:rsidRPr="004F7610">
        <w:rPr>
          <w:rFonts w:ascii="Calibri" w:hAnsi="Calibri" w:cs="Calibri"/>
          <w:sz w:val="28"/>
          <w:szCs w:val="28"/>
          <w:highlight w:val="yellow"/>
        </w:rPr>
        <w:t xml:space="preserve"> exclusively enrolled in “ungraded”</w:t>
      </w:r>
      <w:r w:rsidR="00570E34">
        <w:rPr>
          <w:rFonts w:ascii="Calibri" w:hAnsi="Calibri" w:cs="Calibri"/>
          <w:sz w:val="28"/>
          <w:szCs w:val="28"/>
          <w:highlight w:val="yellow"/>
        </w:rPr>
        <w:t>,</w:t>
      </w:r>
      <w:r w:rsidRPr="004F7610">
        <w:rPr>
          <w:rFonts w:ascii="Calibri" w:hAnsi="Calibri" w:cs="Calibri"/>
          <w:sz w:val="28"/>
          <w:szCs w:val="28"/>
          <w:highlight w:val="yellow"/>
        </w:rPr>
        <w:t xml:space="preserve"> contract, and or student funded courses.  </w:t>
      </w:r>
      <w:hyperlink r:id="rId6" w:history="1">
        <w:r w:rsidRPr="004F7610">
          <w:rPr>
            <w:rStyle w:val="Hyperlink"/>
            <w:rFonts w:ascii="Calibri" w:hAnsi="Calibri" w:cs="Calibri"/>
            <w:sz w:val="28"/>
            <w:szCs w:val="28"/>
            <w:highlight w:val="yellow"/>
          </w:rPr>
          <w:t>State Board Policy 5</w:t>
        </w:r>
      </w:hyperlink>
      <w:r w:rsidRPr="004F7610">
        <w:rPr>
          <w:rFonts w:ascii="Calibri" w:hAnsi="Calibri" w:cs="Calibri"/>
          <w:sz w:val="28"/>
          <w:szCs w:val="28"/>
          <w:highlight w:val="yellow"/>
        </w:rPr>
        <w:t>.20.18 establishes Basic Education for Adults (BEdA) classes as graded ungraded courses.</w:t>
      </w:r>
    </w:p>
    <w:p w14:paraId="562A345C" w14:textId="3B3C73B4" w:rsidR="00420EE0" w:rsidRPr="004F7610" w:rsidRDefault="00420EE0" w:rsidP="00420EE0">
      <w:pPr>
        <w:pStyle w:val="ListParagraph"/>
        <w:rPr>
          <w:rFonts w:ascii="Calibri" w:hAnsi="Calibri" w:cs="Calibri"/>
          <w:sz w:val="28"/>
          <w:szCs w:val="28"/>
          <w:highlight w:val="yellow"/>
        </w:rPr>
      </w:pPr>
      <w:r w:rsidRPr="004F7610">
        <w:rPr>
          <w:rFonts w:ascii="Calibri" w:hAnsi="Calibri" w:cs="Calibri"/>
          <w:sz w:val="28"/>
          <w:szCs w:val="28"/>
          <w:highlight w:val="yellow"/>
        </w:rPr>
        <w:t>Due to th</w:t>
      </w:r>
      <w:r w:rsidR="00570E34">
        <w:rPr>
          <w:rFonts w:ascii="Calibri" w:hAnsi="Calibri" w:cs="Calibri"/>
          <w:sz w:val="28"/>
          <w:szCs w:val="28"/>
          <w:highlight w:val="yellow"/>
        </w:rPr>
        <w:t>ese two policies,</w:t>
      </w:r>
      <w:r w:rsidRPr="004F7610">
        <w:rPr>
          <w:rFonts w:ascii="Calibri" w:hAnsi="Calibri" w:cs="Calibri"/>
          <w:sz w:val="28"/>
          <w:szCs w:val="28"/>
          <w:highlight w:val="yellow"/>
        </w:rPr>
        <w:t xml:space="preserve"> </w:t>
      </w:r>
      <w:r w:rsidR="00D05A1F" w:rsidRPr="004F7610">
        <w:rPr>
          <w:rFonts w:ascii="Calibri" w:hAnsi="Calibri" w:cs="Calibri"/>
          <w:sz w:val="28"/>
          <w:szCs w:val="28"/>
          <w:highlight w:val="yellow"/>
        </w:rPr>
        <w:t>specifically determining residency for BEdA students is prohibited.  As a result</w:t>
      </w:r>
      <w:r w:rsidR="004F7610" w:rsidRPr="004F7610">
        <w:rPr>
          <w:rFonts w:ascii="Calibri" w:hAnsi="Calibri" w:cs="Calibri"/>
          <w:sz w:val="28"/>
          <w:szCs w:val="28"/>
          <w:highlight w:val="yellow"/>
        </w:rPr>
        <w:t>,</w:t>
      </w:r>
      <w:r w:rsidR="00D05A1F" w:rsidRPr="004F7610">
        <w:rPr>
          <w:rFonts w:ascii="Calibri" w:hAnsi="Calibri" w:cs="Calibri"/>
          <w:sz w:val="28"/>
          <w:szCs w:val="28"/>
          <w:highlight w:val="yellow"/>
        </w:rPr>
        <w:t xml:space="preserve"> </w:t>
      </w:r>
      <w:r w:rsidR="00570E34">
        <w:rPr>
          <w:rFonts w:ascii="Calibri" w:hAnsi="Calibri" w:cs="Calibri"/>
          <w:sz w:val="28"/>
          <w:szCs w:val="28"/>
          <w:highlight w:val="yellow"/>
        </w:rPr>
        <w:t>directly</w:t>
      </w:r>
      <w:r w:rsidR="00D05A1F" w:rsidRPr="004F7610">
        <w:rPr>
          <w:rFonts w:ascii="Calibri" w:hAnsi="Calibri" w:cs="Calibri"/>
          <w:sz w:val="28"/>
          <w:szCs w:val="28"/>
          <w:highlight w:val="yellow"/>
        </w:rPr>
        <w:t xml:space="preserve"> asking about visa status would be prohibited.</w:t>
      </w:r>
    </w:p>
    <w:p w14:paraId="14F7DF70" w14:textId="3904A50F" w:rsidR="00420EE0" w:rsidRPr="004F7610" w:rsidRDefault="00D05A1F" w:rsidP="00D05A1F">
      <w:pPr>
        <w:pStyle w:val="ListParagraph"/>
        <w:rPr>
          <w:rFonts w:ascii="Calibri" w:hAnsi="Calibri" w:cs="Calibri"/>
          <w:sz w:val="28"/>
          <w:szCs w:val="28"/>
          <w:highlight w:val="yellow"/>
        </w:rPr>
      </w:pPr>
      <w:r w:rsidRPr="004F7610">
        <w:rPr>
          <w:rFonts w:ascii="Calibri" w:hAnsi="Calibri" w:cs="Calibri"/>
          <w:sz w:val="28"/>
          <w:szCs w:val="28"/>
          <w:highlight w:val="yellow"/>
        </w:rPr>
        <w:t xml:space="preserve">Once a student </w:t>
      </w:r>
      <w:proofErr w:type="gramStart"/>
      <w:r w:rsidRPr="004F7610">
        <w:rPr>
          <w:rFonts w:ascii="Calibri" w:hAnsi="Calibri" w:cs="Calibri"/>
          <w:sz w:val="28"/>
          <w:szCs w:val="28"/>
          <w:highlight w:val="yellow"/>
        </w:rPr>
        <w:t>discloses</w:t>
      </w:r>
      <w:proofErr w:type="gramEnd"/>
      <w:r w:rsidRPr="004F7610">
        <w:rPr>
          <w:rFonts w:ascii="Calibri" w:hAnsi="Calibri" w:cs="Calibri"/>
          <w:sz w:val="28"/>
          <w:szCs w:val="28"/>
          <w:highlight w:val="yellow"/>
        </w:rPr>
        <w:t xml:space="preserve"> they are residing in the county on a visa type ineligible for WIOA Title II services, you</w:t>
      </w:r>
      <w:r w:rsidR="004F7610" w:rsidRPr="004F7610">
        <w:rPr>
          <w:rFonts w:ascii="Calibri" w:hAnsi="Calibri" w:cs="Calibri"/>
          <w:sz w:val="28"/>
          <w:szCs w:val="28"/>
          <w:highlight w:val="yellow"/>
        </w:rPr>
        <w:t>,</w:t>
      </w:r>
      <w:r w:rsidRPr="004F7610">
        <w:rPr>
          <w:rFonts w:ascii="Calibri" w:hAnsi="Calibri" w:cs="Calibri"/>
          <w:sz w:val="28"/>
          <w:szCs w:val="28"/>
          <w:highlight w:val="yellow"/>
        </w:rPr>
        <w:t xml:space="preserve"> or o</w:t>
      </w:r>
      <w:r w:rsidR="004F7610">
        <w:rPr>
          <w:rFonts w:ascii="Calibri" w:hAnsi="Calibri" w:cs="Calibri"/>
          <w:sz w:val="28"/>
          <w:szCs w:val="28"/>
          <w:highlight w:val="yellow"/>
        </w:rPr>
        <w:t xml:space="preserve">ther </w:t>
      </w:r>
      <w:r w:rsidRPr="004F7610">
        <w:rPr>
          <w:rFonts w:ascii="Calibri" w:hAnsi="Calibri" w:cs="Calibri"/>
          <w:sz w:val="28"/>
          <w:szCs w:val="28"/>
          <w:highlight w:val="yellow"/>
        </w:rPr>
        <w:t xml:space="preserve">staff in the organization should work with them to identify and enroll in educational opportunities they </w:t>
      </w:r>
      <w:r w:rsidR="00570E34">
        <w:rPr>
          <w:rFonts w:ascii="Calibri" w:hAnsi="Calibri" w:cs="Calibri"/>
          <w:sz w:val="28"/>
          <w:szCs w:val="28"/>
          <w:highlight w:val="yellow"/>
        </w:rPr>
        <w:t xml:space="preserve">do </w:t>
      </w:r>
      <w:r w:rsidRPr="004F7610">
        <w:rPr>
          <w:rFonts w:ascii="Calibri" w:hAnsi="Calibri" w:cs="Calibri"/>
          <w:sz w:val="28"/>
          <w:szCs w:val="28"/>
          <w:highlight w:val="yellow"/>
        </w:rPr>
        <w:t>qualify for.</w:t>
      </w:r>
    </w:p>
    <w:p w14:paraId="7B06F38E" w14:textId="6D66B12F" w:rsidR="004F7610" w:rsidRDefault="004F7610" w:rsidP="00D05A1F">
      <w:pPr>
        <w:pStyle w:val="ListParagraph"/>
        <w:rPr>
          <w:rFonts w:ascii="Calibri" w:hAnsi="Calibri" w:cs="Calibri"/>
          <w:sz w:val="28"/>
          <w:szCs w:val="28"/>
        </w:rPr>
      </w:pPr>
      <w:r w:rsidRPr="004F7610">
        <w:rPr>
          <w:rFonts w:ascii="Calibri" w:hAnsi="Calibri" w:cs="Calibri"/>
          <w:sz w:val="28"/>
          <w:szCs w:val="28"/>
          <w:highlight w:val="yellow"/>
        </w:rPr>
        <w:t>We believe you should not ask and that there is no need to post information</w:t>
      </w:r>
      <w:r>
        <w:rPr>
          <w:rFonts w:ascii="Calibri" w:hAnsi="Calibri" w:cs="Calibri"/>
          <w:sz w:val="28"/>
          <w:szCs w:val="28"/>
          <w:highlight w:val="yellow"/>
        </w:rPr>
        <w:t xml:space="preserve"> about visa</w:t>
      </w:r>
      <w:r w:rsidR="00570E34">
        <w:rPr>
          <w:rFonts w:ascii="Calibri" w:hAnsi="Calibri" w:cs="Calibri"/>
          <w:sz w:val="28"/>
          <w:szCs w:val="28"/>
          <w:highlight w:val="yellow"/>
        </w:rPr>
        <w:t xml:space="preserve"> </w:t>
      </w:r>
      <w:proofErr w:type="gramStart"/>
      <w:r w:rsidR="00570E34">
        <w:rPr>
          <w:rFonts w:ascii="Calibri" w:hAnsi="Calibri" w:cs="Calibri"/>
          <w:sz w:val="28"/>
          <w:szCs w:val="28"/>
          <w:highlight w:val="yellow"/>
        </w:rPr>
        <w:t>types</w:t>
      </w:r>
      <w:proofErr w:type="gramEnd"/>
      <w:r w:rsidR="00570E34">
        <w:rPr>
          <w:rFonts w:ascii="Calibri" w:hAnsi="Calibri" w:cs="Calibri"/>
          <w:sz w:val="28"/>
          <w:szCs w:val="28"/>
          <w:highlight w:val="yellow"/>
        </w:rPr>
        <w:t xml:space="preserve"> ineligible for WIOA Title II services</w:t>
      </w:r>
      <w:r w:rsidRPr="004F7610">
        <w:rPr>
          <w:rFonts w:ascii="Calibri" w:hAnsi="Calibri" w:cs="Calibri"/>
          <w:sz w:val="28"/>
          <w:szCs w:val="28"/>
          <w:highlight w:val="yellow"/>
        </w:rPr>
        <w:t>.</w:t>
      </w:r>
    </w:p>
    <w:p w14:paraId="41D04250" w14:textId="77777777" w:rsidR="00D05A1F" w:rsidRPr="00420EE0" w:rsidRDefault="00D05A1F" w:rsidP="00D05A1F">
      <w:pPr>
        <w:pStyle w:val="ListParagraph"/>
        <w:rPr>
          <w:rFonts w:ascii="Calibri" w:hAnsi="Calibri" w:cs="Calibri"/>
          <w:sz w:val="28"/>
          <w:szCs w:val="28"/>
        </w:rPr>
      </w:pPr>
    </w:p>
    <w:p w14:paraId="77141728" w14:textId="77777777" w:rsidR="00546094" w:rsidRPr="00185AEA" w:rsidRDefault="00546094" w:rsidP="00546094">
      <w:pPr>
        <w:pStyle w:val="ListParagraph"/>
        <w:numPr>
          <w:ilvl w:val="0"/>
          <w:numId w:val="1"/>
        </w:numPr>
        <w:rPr>
          <w:rFonts w:ascii="Calibri" w:hAnsi="Calibri" w:cs="Calibri"/>
          <w:sz w:val="28"/>
          <w:szCs w:val="28"/>
        </w:rPr>
      </w:pPr>
      <w:r w:rsidRPr="00546094">
        <w:rPr>
          <w:rFonts w:ascii="Calibri" w:eastAsia="Times New Roman" w:hAnsi="Calibri" w:cs="Calibri"/>
          <w:color w:val="202124"/>
          <w:spacing w:val="3"/>
          <w:kern w:val="0"/>
          <w:sz w:val="28"/>
          <w:szCs w:val="28"/>
          <w14:ligatures w14:val="none"/>
        </w:rPr>
        <w:t xml:space="preserve">. Meeting the graduation requirements for the high school and beyond plan and graduation pathway. </w:t>
      </w:r>
    </w:p>
    <w:p w14:paraId="0979A48B" w14:textId="430230F7" w:rsidR="00185AEA" w:rsidRPr="002739F6" w:rsidRDefault="00185AEA" w:rsidP="00185AEA">
      <w:pPr>
        <w:pStyle w:val="ListParagraph"/>
        <w:rPr>
          <w:rFonts w:ascii="Calibri" w:eastAsia="Times New Roman" w:hAnsi="Calibri" w:cs="Calibri"/>
          <w:color w:val="202124"/>
          <w:spacing w:val="3"/>
          <w:kern w:val="0"/>
          <w:sz w:val="28"/>
          <w:szCs w:val="28"/>
          <w:highlight w:val="yellow"/>
          <w14:ligatures w14:val="none"/>
        </w:rPr>
      </w:pPr>
      <w:hyperlink r:id="rId7" w:history="1">
        <w:r w:rsidRPr="002739F6">
          <w:rPr>
            <w:rStyle w:val="Hyperlink"/>
            <w:rFonts w:ascii="Calibri" w:eastAsia="Times New Roman" w:hAnsi="Calibri" w:cs="Calibri"/>
            <w:spacing w:val="3"/>
            <w:kern w:val="0"/>
            <w:sz w:val="28"/>
            <w:szCs w:val="28"/>
            <w:highlight w:val="yellow"/>
            <w14:ligatures w14:val="none"/>
          </w:rPr>
          <w:t>WAC 180-51-035</w:t>
        </w:r>
        <w:r w:rsidR="002739F6" w:rsidRPr="002739F6">
          <w:rPr>
            <w:rStyle w:val="Hyperlink"/>
            <w:rFonts w:ascii="Calibri" w:eastAsia="Times New Roman" w:hAnsi="Calibri" w:cs="Calibri"/>
            <w:spacing w:val="3"/>
            <w:kern w:val="0"/>
            <w:sz w:val="28"/>
            <w:szCs w:val="28"/>
            <w:highlight w:val="yellow"/>
            <w14:ligatures w14:val="none"/>
          </w:rPr>
          <w:t>(2)(a)</w:t>
        </w:r>
      </w:hyperlink>
      <w:r w:rsidR="002739F6" w:rsidRPr="002739F6">
        <w:rPr>
          <w:rFonts w:ascii="Calibri" w:eastAsia="Times New Roman" w:hAnsi="Calibri" w:cs="Calibri"/>
          <w:color w:val="202124"/>
          <w:spacing w:val="3"/>
          <w:kern w:val="0"/>
          <w:sz w:val="28"/>
          <w:szCs w:val="28"/>
          <w:highlight w:val="yellow"/>
          <w14:ligatures w14:val="none"/>
        </w:rPr>
        <w:t xml:space="preserve"> requires students 21 and over to meet only the “minimum graduation credit” for when they began their high school program when earning a high school diploma through our community and technical college High School Completion (HSC) programs.  This means these students do not need to complete the graduation pathway options.  Students under 21 are not </w:t>
      </w:r>
      <w:proofErr w:type="gramStart"/>
      <w:r w:rsidR="002739F6" w:rsidRPr="002739F6">
        <w:rPr>
          <w:rFonts w:ascii="Calibri" w:eastAsia="Times New Roman" w:hAnsi="Calibri" w:cs="Calibri"/>
          <w:color w:val="202124"/>
          <w:spacing w:val="3"/>
          <w:kern w:val="0"/>
          <w:sz w:val="28"/>
          <w:szCs w:val="28"/>
          <w:highlight w:val="yellow"/>
          <w14:ligatures w14:val="none"/>
        </w:rPr>
        <w:t>provided</w:t>
      </w:r>
      <w:proofErr w:type="gramEnd"/>
      <w:r w:rsidR="002739F6" w:rsidRPr="002739F6">
        <w:rPr>
          <w:rFonts w:ascii="Calibri" w:eastAsia="Times New Roman" w:hAnsi="Calibri" w:cs="Calibri"/>
          <w:color w:val="202124"/>
          <w:spacing w:val="3"/>
          <w:kern w:val="0"/>
          <w:sz w:val="28"/>
          <w:szCs w:val="28"/>
          <w:highlight w:val="yellow"/>
          <w14:ligatures w14:val="none"/>
        </w:rPr>
        <w:t xml:space="preserve"> this </w:t>
      </w:r>
      <w:proofErr w:type="gramStart"/>
      <w:r w:rsidR="002739F6" w:rsidRPr="002739F6">
        <w:rPr>
          <w:rFonts w:ascii="Calibri" w:eastAsia="Times New Roman" w:hAnsi="Calibri" w:cs="Calibri"/>
          <w:color w:val="202124"/>
          <w:spacing w:val="3"/>
          <w:kern w:val="0"/>
          <w:sz w:val="28"/>
          <w:szCs w:val="28"/>
          <w:highlight w:val="yellow"/>
          <w14:ligatures w14:val="none"/>
        </w:rPr>
        <w:t>exemption</w:t>
      </w:r>
      <w:r w:rsidR="00570E34">
        <w:rPr>
          <w:rFonts w:ascii="Calibri" w:eastAsia="Times New Roman" w:hAnsi="Calibri" w:cs="Calibri"/>
          <w:color w:val="202124"/>
          <w:spacing w:val="3"/>
          <w:kern w:val="0"/>
          <w:sz w:val="28"/>
          <w:szCs w:val="28"/>
          <w:highlight w:val="yellow"/>
          <w14:ligatures w14:val="none"/>
        </w:rPr>
        <w:t>, and</w:t>
      </w:r>
      <w:proofErr w:type="gramEnd"/>
      <w:r w:rsidR="00570E34">
        <w:rPr>
          <w:rFonts w:ascii="Calibri" w:eastAsia="Times New Roman" w:hAnsi="Calibri" w:cs="Calibri"/>
          <w:color w:val="202124"/>
          <w:spacing w:val="3"/>
          <w:kern w:val="0"/>
          <w:sz w:val="28"/>
          <w:szCs w:val="28"/>
          <w:highlight w:val="yellow"/>
          <w14:ligatures w14:val="none"/>
        </w:rPr>
        <w:t xml:space="preserve"> would need to complete that requirement</w:t>
      </w:r>
      <w:r w:rsidR="002739F6" w:rsidRPr="002739F6">
        <w:rPr>
          <w:rFonts w:ascii="Calibri" w:eastAsia="Times New Roman" w:hAnsi="Calibri" w:cs="Calibri"/>
          <w:color w:val="202124"/>
          <w:spacing w:val="3"/>
          <w:kern w:val="0"/>
          <w:sz w:val="28"/>
          <w:szCs w:val="28"/>
          <w:highlight w:val="yellow"/>
          <w14:ligatures w14:val="none"/>
        </w:rPr>
        <w:t>.</w:t>
      </w:r>
    </w:p>
    <w:p w14:paraId="44A1D841" w14:textId="1EB39BFC" w:rsidR="002739F6" w:rsidRDefault="002739F6" w:rsidP="00185AEA">
      <w:pPr>
        <w:pStyle w:val="ListParagraph"/>
        <w:rPr>
          <w:rFonts w:ascii="Calibri" w:eastAsia="Times New Roman" w:hAnsi="Calibri" w:cs="Calibri"/>
          <w:color w:val="202124"/>
          <w:spacing w:val="3"/>
          <w:kern w:val="0"/>
          <w:sz w:val="28"/>
          <w:szCs w:val="28"/>
          <w14:ligatures w14:val="none"/>
        </w:rPr>
      </w:pPr>
      <w:r w:rsidRPr="002739F6">
        <w:rPr>
          <w:rFonts w:ascii="Calibri" w:eastAsia="Times New Roman" w:hAnsi="Calibri" w:cs="Calibri"/>
          <w:color w:val="202124"/>
          <w:spacing w:val="3"/>
          <w:kern w:val="0"/>
          <w:sz w:val="28"/>
          <w:szCs w:val="28"/>
          <w:highlight w:val="yellow"/>
          <w14:ligatures w14:val="none"/>
        </w:rPr>
        <w:t xml:space="preserve">All students should complete a “high school and beyond plan” (HSBP).  All students benefit from completing goal setting and thinking about next </w:t>
      </w:r>
      <w:r w:rsidRPr="002739F6">
        <w:rPr>
          <w:rFonts w:ascii="Calibri" w:eastAsia="Times New Roman" w:hAnsi="Calibri" w:cs="Calibri"/>
          <w:color w:val="202124"/>
          <w:spacing w:val="3"/>
          <w:kern w:val="0"/>
          <w:sz w:val="28"/>
          <w:szCs w:val="28"/>
          <w:highlight w:val="yellow"/>
          <w14:ligatures w14:val="none"/>
        </w:rPr>
        <w:lastRenderedPageBreak/>
        <w:t xml:space="preserve">steps.  Also, accessing any of the </w:t>
      </w:r>
      <w:proofErr w:type="gramStart"/>
      <w:r w:rsidRPr="002739F6">
        <w:rPr>
          <w:rFonts w:ascii="Calibri" w:eastAsia="Times New Roman" w:hAnsi="Calibri" w:cs="Calibri"/>
          <w:color w:val="202124"/>
          <w:spacing w:val="3"/>
          <w:kern w:val="0"/>
          <w:sz w:val="28"/>
          <w:szCs w:val="28"/>
          <w:highlight w:val="yellow"/>
          <w14:ligatures w14:val="none"/>
        </w:rPr>
        <w:t>course</w:t>
      </w:r>
      <w:proofErr w:type="gramEnd"/>
      <w:r w:rsidRPr="002739F6">
        <w:rPr>
          <w:rFonts w:ascii="Calibri" w:eastAsia="Times New Roman" w:hAnsi="Calibri" w:cs="Calibri"/>
          <w:color w:val="202124"/>
          <w:spacing w:val="3"/>
          <w:kern w:val="0"/>
          <w:sz w:val="28"/>
          <w:szCs w:val="28"/>
          <w:highlight w:val="yellow"/>
          <w14:ligatures w14:val="none"/>
        </w:rPr>
        <w:t xml:space="preserve"> taking variation</w:t>
      </w:r>
      <w:r w:rsidR="00570E34">
        <w:rPr>
          <w:rFonts w:ascii="Calibri" w:eastAsia="Times New Roman" w:hAnsi="Calibri" w:cs="Calibri"/>
          <w:color w:val="202124"/>
          <w:spacing w:val="3"/>
          <w:kern w:val="0"/>
          <w:sz w:val="28"/>
          <w:szCs w:val="28"/>
          <w:highlight w:val="yellow"/>
          <w14:ligatures w14:val="none"/>
        </w:rPr>
        <w:t>s</w:t>
      </w:r>
      <w:r w:rsidRPr="002739F6">
        <w:rPr>
          <w:rFonts w:ascii="Calibri" w:eastAsia="Times New Roman" w:hAnsi="Calibri" w:cs="Calibri"/>
          <w:color w:val="202124"/>
          <w:spacing w:val="3"/>
          <w:kern w:val="0"/>
          <w:sz w:val="28"/>
          <w:szCs w:val="28"/>
          <w:highlight w:val="yellow"/>
          <w14:ligatures w14:val="none"/>
        </w:rPr>
        <w:t xml:space="preserve"> allowed in statute require</w:t>
      </w:r>
      <w:r w:rsidR="00570E34">
        <w:rPr>
          <w:rFonts w:ascii="Calibri" w:eastAsia="Times New Roman" w:hAnsi="Calibri" w:cs="Calibri"/>
          <w:color w:val="202124"/>
          <w:spacing w:val="3"/>
          <w:kern w:val="0"/>
          <w:sz w:val="28"/>
          <w:szCs w:val="28"/>
          <w:highlight w:val="yellow"/>
          <w14:ligatures w14:val="none"/>
        </w:rPr>
        <w:t>s</w:t>
      </w:r>
      <w:r w:rsidRPr="002739F6">
        <w:rPr>
          <w:rFonts w:ascii="Calibri" w:eastAsia="Times New Roman" w:hAnsi="Calibri" w:cs="Calibri"/>
          <w:color w:val="202124"/>
          <w:spacing w:val="3"/>
          <w:kern w:val="0"/>
          <w:sz w:val="28"/>
          <w:szCs w:val="28"/>
          <w:highlight w:val="yellow"/>
          <w14:ligatures w14:val="none"/>
        </w:rPr>
        <w:t xml:space="preserve"> document</w:t>
      </w:r>
      <w:r w:rsidR="00570E34">
        <w:rPr>
          <w:rFonts w:ascii="Calibri" w:eastAsia="Times New Roman" w:hAnsi="Calibri" w:cs="Calibri"/>
          <w:color w:val="202124"/>
          <w:spacing w:val="3"/>
          <w:kern w:val="0"/>
          <w:sz w:val="28"/>
          <w:szCs w:val="28"/>
          <w:highlight w:val="yellow"/>
          <w14:ligatures w14:val="none"/>
        </w:rPr>
        <w:t>ation</w:t>
      </w:r>
      <w:r w:rsidRPr="002739F6">
        <w:rPr>
          <w:rFonts w:ascii="Calibri" w:eastAsia="Times New Roman" w:hAnsi="Calibri" w:cs="Calibri"/>
          <w:color w:val="202124"/>
          <w:spacing w:val="3"/>
          <w:kern w:val="0"/>
          <w:sz w:val="28"/>
          <w:szCs w:val="28"/>
          <w:highlight w:val="yellow"/>
          <w14:ligatures w14:val="none"/>
        </w:rPr>
        <w:t xml:space="preserve"> in the HSBP.</w:t>
      </w:r>
    </w:p>
    <w:p w14:paraId="05EAA2CA" w14:textId="77777777" w:rsidR="000403F1" w:rsidRPr="00185AEA" w:rsidRDefault="000403F1" w:rsidP="00185AEA">
      <w:pPr>
        <w:pStyle w:val="ListParagraph"/>
        <w:rPr>
          <w:rFonts w:ascii="Calibri" w:hAnsi="Calibri" w:cs="Calibri"/>
          <w:sz w:val="28"/>
          <w:szCs w:val="28"/>
        </w:rPr>
      </w:pPr>
    </w:p>
    <w:p w14:paraId="15EEC4CC" w14:textId="77777777" w:rsidR="000403F1" w:rsidRPr="000403F1" w:rsidRDefault="000403F1" w:rsidP="000403F1">
      <w:pPr>
        <w:pStyle w:val="ListParagraph"/>
        <w:rPr>
          <w:rFonts w:ascii="Calibri" w:hAnsi="Calibri" w:cs="Calibri"/>
          <w:sz w:val="28"/>
          <w:szCs w:val="28"/>
        </w:rPr>
      </w:pPr>
    </w:p>
    <w:p w14:paraId="06E6E1C9" w14:textId="77777777" w:rsidR="00546094" w:rsidRPr="000403F1" w:rsidRDefault="00546094" w:rsidP="00546094">
      <w:pPr>
        <w:pStyle w:val="ListParagraph"/>
        <w:numPr>
          <w:ilvl w:val="0"/>
          <w:numId w:val="1"/>
        </w:numPr>
        <w:rPr>
          <w:rFonts w:ascii="Calibri" w:hAnsi="Calibri" w:cs="Calibri"/>
          <w:sz w:val="28"/>
          <w:szCs w:val="28"/>
        </w:rPr>
      </w:pPr>
      <w:r w:rsidRPr="00546094">
        <w:rPr>
          <w:rFonts w:ascii="Calibri" w:eastAsia="Times New Roman" w:hAnsi="Calibri" w:cs="Calibri"/>
          <w:color w:val="202124"/>
          <w:spacing w:val="3"/>
          <w:kern w:val="0"/>
          <w:sz w:val="28"/>
          <w:szCs w:val="28"/>
          <w14:ligatures w14:val="none"/>
        </w:rPr>
        <w:t xml:space="preserve">What is the option for colleges applying for Title 1 funds? Is this allowable or only if applications open through the WDC? </w:t>
      </w:r>
    </w:p>
    <w:p w14:paraId="63D279A8" w14:textId="44B1B2D2" w:rsidR="000403F1" w:rsidRDefault="00570E34" w:rsidP="000403F1">
      <w:pPr>
        <w:pStyle w:val="ListParagraph"/>
        <w:rPr>
          <w:rFonts w:ascii="Calibri" w:eastAsia="Times New Roman" w:hAnsi="Calibri" w:cs="Calibri"/>
          <w:color w:val="202124"/>
          <w:spacing w:val="3"/>
          <w:kern w:val="0"/>
          <w:sz w:val="28"/>
          <w:szCs w:val="28"/>
          <w14:ligatures w14:val="none"/>
        </w:rPr>
      </w:pPr>
      <w:r>
        <w:rPr>
          <w:rFonts w:ascii="Calibri" w:eastAsia="Times New Roman" w:hAnsi="Calibri" w:cs="Calibri"/>
          <w:color w:val="202124"/>
          <w:spacing w:val="3"/>
          <w:kern w:val="0"/>
          <w:sz w:val="28"/>
          <w:szCs w:val="28"/>
          <w:highlight w:val="yellow"/>
          <w14:ligatures w14:val="none"/>
        </w:rPr>
        <w:t xml:space="preserve">We </w:t>
      </w:r>
      <w:r w:rsidR="000403F1" w:rsidRPr="000403F1">
        <w:rPr>
          <w:rFonts w:ascii="Calibri" w:eastAsia="Times New Roman" w:hAnsi="Calibri" w:cs="Calibri"/>
          <w:color w:val="202124"/>
          <w:spacing w:val="3"/>
          <w:kern w:val="0"/>
          <w:sz w:val="28"/>
          <w:szCs w:val="28"/>
          <w:highlight w:val="yellow"/>
          <w14:ligatures w14:val="none"/>
        </w:rPr>
        <w:t xml:space="preserve">do not believe that colleges or Community Based Organizations (CBO) are eligible to apply to provide WIOA Title I </w:t>
      </w:r>
      <w:proofErr w:type="gramStart"/>
      <w:r w:rsidR="000403F1" w:rsidRPr="000403F1">
        <w:rPr>
          <w:rFonts w:ascii="Calibri" w:eastAsia="Times New Roman" w:hAnsi="Calibri" w:cs="Calibri"/>
          <w:color w:val="202124"/>
          <w:spacing w:val="3"/>
          <w:kern w:val="0"/>
          <w:sz w:val="28"/>
          <w:szCs w:val="28"/>
          <w:highlight w:val="yellow"/>
          <w14:ligatures w14:val="none"/>
        </w:rPr>
        <w:t>services</w:t>
      </w:r>
      <w:proofErr w:type="gramEnd"/>
      <w:r w:rsidR="000403F1" w:rsidRPr="000403F1">
        <w:rPr>
          <w:rFonts w:ascii="Calibri" w:eastAsia="Times New Roman" w:hAnsi="Calibri" w:cs="Calibri"/>
          <w:color w:val="202124"/>
          <w:spacing w:val="3"/>
          <w:kern w:val="0"/>
          <w:sz w:val="28"/>
          <w:szCs w:val="28"/>
          <w:highlight w:val="yellow"/>
          <w14:ligatures w14:val="none"/>
        </w:rPr>
        <w:t xml:space="preserve"> and receive funds.  This is much the same as WIOA Title I provider</w:t>
      </w:r>
      <w:r>
        <w:rPr>
          <w:rFonts w:ascii="Calibri" w:eastAsia="Times New Roman" w:hAnsi="Calibri" w:cs="Calibri"/>
          <w:color w:val="202124"/>
          <w:spacing w:val="3"/>
          <w:kern w:val="0"/>
          <w:sz w:val="28"/>
          <w:szCs w:val="28"/>
          <w:highlight w:val="yellow"/>
          <w14:ligatures w14:val="none"/>
        </w:rPr>
        <w:t>s being</w:t>
      </w:r>
      <w:r w:rsidR="000403F1" w:rsidRPr="000403F1">
        <w:rPr>
          <w:rFonts w:ascii="Calibri" w:eastAsia="Times New Roman" w:hAnsi="Calibri" w:cs="Calibri"/>
          <w:color w:val="202124"/>
          <w:spacing w:val="3"/>
          <w:kern w:val="0"/>
          <w:sz w:val="28"/>
          <w:szCs w:val="28"/>
          <w:highlight w:val="yellow"/>
          <w14:ligatures w14:val="none"/>
        </w:rPr>
        <w:t xml:space="preserve"> </w:t>
      </w:r>
      <w:r>
        <w:rPr>
          <w:rFonts w:ascii="Calibri" w:eastAsia="Times New Roman" w:hAnsi="Calibri" w:cs="Calibri"/>
          <w:color w:val="202124"/>
          <w:spacing w:val="3"/>
          <w:kern w:val="0"/>
          <w:sz w:val="28"/>
          <w:szCs w:val="28"/>
          <w:highlight w:val="yellow"/>
          <w14:ligatures w14:val="none"/>
        </w:rPr>
        <w:t>in</w:t>
      </w:r>
      <w:r w:rsidR="000403F1" w:rsidRPr="000403F1">
        <w:rPr>
          <w:rFonts w:ascii="Calibri" w:eastAsia="Times New Roman" w:hAnsi="Calibri" w:cs="Calibri"/>
          <w:color w:val="202124"/>
          <w:spacing w:val="3"/>
          <w:kern w:val="0"/>
          <w:sz w:val="28"/>
          <w:szCs w:val="28"/>
          <w:highlight w:val="yellow"/>
          <w14:ligatures w14:val="none"/>
        </w:rPr>
        <w:t>eligible to provide services or receive funds for WIOA Title II AEFLA.</w:t>
      </w:r>
    </w:p>
    <w:p w14:paraId="4733F0D6" w14:textId="77777777" w:rsidR="0059230E" w:rsidRPr="000403F1" w:rsidRDefault="0059230E" w:rsidP="000403F1">
      <w:pPr>
        <w:pStyle w:val="ListParagraph"/>
        <w:rPr>
          <w:rFonts w:ascii="Calibri" w:hAnsi="Calibri" w:cs="Calibri"/>
          <w:sz w:val="28"/>
          <w:szCs w:val="28"/>
        </w:rPr>
      </w:pPr>
    </w:p>
    <w:p w14:paraId="250E1FD9" w14:textId="3790FF66" w:rsidR="00546094" w:rsidRPr="002739F6" w:rsidRDefault="00546094" w:rsidP="00546094">
      <w:pPr>
        <w:pStyle w:val="ListParagraph"/>
        <w:numPr>
          <w:ilvl w:val="0"/>
          <w:numId w:val="1"/>
        </w:numPr>
        <w:rPr>
          <w:rFonts w:ascii="Calibri" w:hAnsi="Calibri" w:cs="Calibri"/>
          <w:sz w:val="28"/>
          <w:szCs w:val="28"/>
        </w:rPr>
      </w:pPr>
      <w:r w:rsidRPr="00546094">
        <w:rPr>
          <w:rFonts w:ascii="Calibri" w:hAnsi="Calibri" w:cs="Calibri"/>
          <w:color w:val="202124"/>
          <w:spacing w:val="3"/>
          <w:sz w:val="28"/>
          <w:szCs w:val="28"/>
          <w:shd w:val="clear" w:color="auto" w:fill="FFFFFF"/>
        </w:rPr>
        <w:t>At the state board level, is alternate funding (ex: non-federal dollars) for BEdA being explored while we are at the mercy of the current federal administration?</w:t>
      </w:r>
    </w:p>
    <w:p w14:paraId="6C7F286D" w14:textId="77777777" w:rsidR="00570E34" w:rsidRDefault="002739F6" w:rsidP="000403F1">
      <w:pPr>
        <w:pStyle w:val="ListParagraph"/>
        <w:rPr>
          <w:rFonts w:ascii="Calibri" w:hAnsi="Calibri" w:cs="Calibri"/>
          <w:sz w:val="28"/>
          <w:szCs w:val="28"/>
          <w:highlight w:val="yellow"/>
        </w:rPr>
      </w:pPr>
      <w:r w:rsidRPr="000403F1">
        <w:rPr>
          <w:rFonts w:ascii="Calibri" w:hAnsi="Calibri" w:cs="Calibri"/>
          <w:sz w:val="28"/>
          <w:szCs w:val="28"/>
          <w:highlight w:val="yellow"/>
        </w:rPr>
        <w:t>While this is being considered, i</w:t>
      </w:r>
      <w:r w:rsidR="000403F1" w:rsidRPr="000403F1">
        <w:rPr>
          <w:rFonts w:ascii="Calibri" w:hAnsi="Calibri" w:cs="Calibri"/>
          <w:sz w:val="28"/>
          <w:szCs w:val="28"/>
          <w:highlight w:val="yellow"/>
        </w:rPr>
        <w:t>t is not being actively pursued.  The current state financial situation is not optimal to make a nearly $14,000,000 ask</w:t>
      </w:r>
      <w:r w:rsidR="0059230E">
        <w:rPr>
          <w:rFonts w:ascii="Calibri" w:hAnsi="Calibri" w:cs="Calibri"/>
          <w:sz w:val="28"/>
          <w:szCs w:val="28"/>
          <w:highlight w:val="yellow"/>
        </w:rPr>
        <w:t xml:space="preserve">, and </w:t>
      </w:r>
      <w:proofErr w:type="gramStart"/>
      <w:r w:rsidR="0059230E">
        <w:rPr>
          <w:rFonts w:ascii="Calibri" w:hAnsi="Calibri" w:cs="Calibri"/>
          <w:sz w:val="28"/>
          <w:szCs w:val="28"/>
          <w:highlight w:val="yellow"/>
        </w:rPr>
        <w:t>the SBCTC</w:t>
      </w:r>
      <w:proofErr w:type="gramEnd"/>
      <w:r w:rsidR="0059230E">
        <w:rPr>
          <w:rFonts w:ascii="Calibri" w:hAnsi="Calibri" w:cs="Calibri"/>
          <w:sz w:val="28"/>
          <w:szCs w:val="28"/>
          <w:highlight w:val="yellow"/>
        </w:rPr>
        <w:t xml:space="preserve"> is request</w:t>
      </w:r>
      <w:r w:rsidR="00570E34">
        <w:rPr>
          <w:rFonts w:ascii="Calibri" w:hAnsi="Calibri" w:cs="Calibri"/>
          <w:sz w:val="28"/>
          <w:szCs w:val="28"/>
          <w:highlight w:val="yellow"/>
        </w:rPr>
        <w:t>ing</w:t>
      </w:r>
      <w:r w:rsidR="0059230E">
        <w:rPr>
          <w:rFonts w:ascii="Calibri" w:hAnsi="Calibri" w:cs="Calibri"/>
          <w:sz w:val="28"/>
          <w:szCs w:val="28"/>
          <w:highlight w:val="yellow"/>
        </w:rPr>
        <w:t xml:space="preserve"> full funding for COLAs as our fiscal ask for the </w:t>
      </w:r>
      <w:r w:rsidR="00570E34">
        <w:rPr>
          <w:rFonts w:ascii="Calibri" w:hAnsi="Calibri" w:cs="Calibri"/>
          <w:sz w:val="28"/>
          <w:szCs w:val="28"/>
          <w:highlight w:val="yellow"/>
        </w:rPr>
        <w:t xml:space="preserve">upcoming </w:t>
      </w:r>
      <w:r w:rsidR="0059230E">
        <w:rPr>
          <w:rFonts w:ascii="Calibri" w:hAnsi="Calibri" w:cs="Calibri"/>
          <w:sz w:val="28"/>
          <w:szCs w:val="28"/>
          <w:highlight w:val="yellow"/>
        </w:rPr>
        <w:t>session</w:t>
      </w:r>
      <w:r w:rsidR="000403F1" w:rsidRPr="000403F1">
        <w:rPr>
          <w:rFonts w:ascii="Calibri" w:hAnsi="Calibri" w:cs="Calibri"/>
          <w:sz w:val="28"/>
          <w:szCs w:val="28"/>
          <w:highlight w:val="yellow"/>
        </w:rPr>
        <w:t xml:space="preserve">.  </w:t>
      </w:r>
    </w:p>
    <w:p w14:paraId="36AAA069" w14:textId="77777777" w:rsidR="00570E34" w:rsidRDefault="000403F1" w:rsidP="000403F1">
      <w:pPr>
        <w:pStyle w:val="ListParagraph"/>
        <w:rPr>
          <w:rFonts w:ascii="Calibri" w:hAnsi="Calibri" w:cs="Calibri"/>
          <w:sz w:val="28"/>
          <w:szCs w:val="28"/>
          <w:highlight w:val="yellow"/>
        </w:rPr>
      </w:pPr>
      <w:r w:rsidRPr="000403F1">
        <w:rPr>
          <w:rFonts w:ascii="Calibri" w:hAnsi="Calibri" w:cs="Calibri"/>
          <w:sz w:val="28"/>
          <w:szCs w:val="28"/>
          <w:highlight w:val="yellow"/>
        </w:rPr>
        <w:t xml:space="preserve">Also, </w:t>
      </w:r>
      <w:r w:rsidR="0059230E">
        <w:rPr>
          <w:rFonts w:ascii="Calibri" w:hAnsi="Calibri" w:cs="Calibri"/>
          <w:sz w:val="28"/>
          <w:szCs w:val="28"/>
          <w:highlight w:val="yellow"/>
        </w:rPr>
        <w:t>dedicated funding</w:t>
      </w:r>
      <w:r w:rsidRPr="000403F1">
        <w:rPr>
          <w:rFonts w:ascii="Calibri" w:hAnsi="Calibri" w:cs="Calibri"/>
          <w:sz w:val="28"/>
          <w:szCs w:val="28"/>
          <w:highlight w:val="yellow"/>
        </w:rPr>
        <w:t xml:space="preserve"> would likely need to come from the dollars already appropriated to our colleges from the legislature (BEdA produces many </w:t>
      </w:r>
      <w:proofErr w:type="gramStart"/>
      <w:r w:rsidRPr="000403F1">
        <w:rPr>
          <w:rFonts w:ascii="Calibri" w:hAnsi="Calibri" w:cs="Calibri"/>
          <w:sz w:val="28"/>
          <w:szCs w:val="28"/>
          <w:highlight w:val="yellow"/>
        </w:rPr>
        <w:t>state</w:t>
      </w:r>
      <w:proofErr w:type="gramEnd"/>
      <w:r w:rsidRPr="000403F1">
        <w:rPr>
          <w:rFonts w:ascii="Calibri" w:hAnsi="Calibri" w:cs="Calibri"/>
          <w:sz w:val="28"/>
          <w:szCs w:val="28"/>
          <w:highlight w:val="yellow"/>
        </w:rPr>
        <w:t xml:space="preserve"> funded FTEs).  </w:t>
      </w:r>
    </w:p>
    <w:p w14:paraId="2686583F" w14:textId="653ED628" w:rsidR="002739F6" w:rsidRDefault="000403F1" w:rsidP="000403F1">
      <w:pPr>
        <w:pStyle w:val="ListParagraph"/>
        <w:rPr>
          <w:rFonts w:ascii="Calibri" w:hAnsi="Calibri" w:cs="Calibri"/>
          <w:sz w:val="28"/>
          <w:szCs w:val="28"/>
        </w:rPr>
      </w:pPr>
      <w:r w:rsidRPr="000403F1">
        <w:rPr>
          <w:rFonts w:ascii="Calibri" w:hAnsi="Calibri" w:cs="Calibri"/>
          <w:sz w:val="28"/>
          <w:szCs w:val="28"/>
          <w:highlight w:val="yellow"/>
        </w:rPr>
        <w:t>Once the new allocation model is fully approved and implemented, we can see if this stabilizes the finances of BEdA throughout the state</w:t>
      </w:r>
      <w:r w:rsidRPr="0059230E">
        <w:rPr>
          <w:rFonts w:ascii="Calibri" w:hAnsi="Calibri" w:cs="Calibri"/>
          <w:sz w:val="28"/>
          <w:szCs w:val="28"/>
          <w:highlight w:val="yellow"/>
        </w:rPr>
        <w:t>.</w:t>
      </w:r>
      <w:r w:rsidR="0059230E" w:rsidRPr="0059230E">
        <w:rPr>
          <w:rFonts w:ascii="Calibri" w:hAnsi="Calibri" w:cs="Calibri"/>
          <w:sz w:val="28"/>
          <w:szCs w:val="28"/>
          <w:highlight w:val="yellow"/>
        </w:rPr>
        <w:t xml:space="preserve">  There is some belief that with some campus advocacy, the new model could really benefit BEdA.</w:t>
      </w:r>
    </w:p>
    <w:p w14:paraId="556645A0" w14:textId="77777777" w:rsidR="002739F6" w:rsidRDefault="002739F6" w:rsidP="000403F1">
      <w:pPr>
        <w:pStyle w:val="ListParagraph"/>
        <w:rPr>
          <w:rFonts w:ascii="Calibri" w:hAnsi="Calibri" w:cs="Calibri"/>
          <w:sz w:val="28"/>
          <w:szCs w:val="28"/>
        </w:rPr>
      </w:pPr>
    </w:p>
    <w:p w14:paraId="034AD0F6" w14:textId="0AF43372" w:rsidR="00546094" w:rsidRDefault="00546094" w:rsidP="00546094">
      <w:pPr>
        <w:pStyle w:val="ListParagraph"/>
        <w:numPr>
          <w:ilvl w:val="0"/>
          <w:numId w:val="1"/>
        </w:numPr>
        <w:rPr>
          <w:rFonts w:ascii="Calibri" w:hAnsi="Calibri" w:cs="Calibri"/>
          <w:sz w:val="28"/>
          <w:szCs w:val="28"/>
        </w:rPr>
      </w:pPr>
      <w:r w:rsidRPr="00546094">
        <w:rPr>
          <w:rFonts w:ascii="Calibri" w:hAnsi="Calibri" w:cs="Calibri"/>
          <w:sz w:val="28"/>
          <w:szCs w:val="28"/>
        </w:rPr>
        <w:t xml:space="preserve">In WABERS there used to be a clear visual chart that showed us the extent to which we met/decreased/increased our targets </w:t>
      </w:r>
      <w:proofErr w:type="gramStart"/>
      <w:r w:rsidRPr="00546094">
        <w:rPr>
          <w:rFonts w:ascii="Calibri" w:hAnsi="Calibri" w:cs="Calibri"/>
          <w:sz w:val="28"/>
          <w:szCs w:val="28"/>
        </w:rPr>
        <w:t>in order to</w:t>
      </w:r>
      <w:proofErr w:type="gramEnd"/>
      <w:r w:rsidRPr="00546094">
        <w:rPr>
          <w:rFonts w:ascii="Calibri" w:hAnsi="Calibri" w:cs="Calibri"/>
          <w:sz w:val="28"/>
          <w:szCs w:val="28"/>
        </w:rPr>
        <w:t xml:space="preserve"> answer question 3 on the federal report (whether we met our program outcome targets). Does this same chart exist in </w:t>
      </w:r>
      <w:proofErr w:type="gramStart"/>
      <w:r w:rsidRPr="00546094">
        <w:rPr>
          <w:rFonts w:ascii="Calibri" w:hAnsi="Calibri" w:cs="Calibri"/>
          <w:sz w:val="28"/>
          <w:szCs w:val="28"/>
        </w:rPr>
        <w:t>LACES</w:t>
      </w:r>
      <w:proofErr w:type="gramEnd"/>
      <w:r w:rsidRPr="00546094">
        <w:rPr>
          <w:rFonts w:ascii="Calibri" w:hAnsi="Calibri" w:cs="Calibri"/>
          <w:sz w:val="28"/>
          <w:szCs w:val="28"/>
        </w:rPr>
        <w:t xml:space="preserve"> or do we need to cross reference between Table IV in LACES and our Target Setting Worksheet in OGMS?</w:t>
      </w:r>
      <w:r>
        <w:rPr>
          <w:rFonts w:ascii="Calibri" w:hAnsi="Calibri" w:cs="Calibri"/>
          <w:sz w:val="28"/>
          <w:szCs w:val="28"/>
        </w:rPr>
        <w:t>’</w:t>
      </w:r>
    </w:p>
    <w:p w14:paraId="7A551037" w14:textId="758A45EF" w:rsidR="00185AEA" w:rsidRPr="00185AEA" w:rsidRDefault="00185AEA" w:rsidP="00185AEA">
      <w:pPr>
        <w:pStyle w:val="ListParagraph"/>
        <w:rPr>
          <w:rFonts w:ascii="Calibri" w:hAnsi="Calibri" w:cs="Calibri"/>
          <w:sz w:val="28"/>
          <w:szCs w:val="28"/>
        </w:rPr>
      </w:pPr>
      <w:r w:rsidRPr="00185AEA">
        <w:rPr>
          <w:rFonts w:ascii="Calibri" w:hAnsi="Calibri" w:cs="Calibri"/>
          <w:sz w:val="28"/>
          <w:szCs w:val="28"/>
          <w:highlight w:val="yellow"/>
        </w:rPr>
        <w:lastRenderedPageBreak/>
        <w:t xml:space="preserve">This question appears to be about the BEdA Quarterly Performance dashboard that was embedded in the Home page in WABERS+. It cannot be embedded in LACES but it is still available on the </w:t>
      </w:r>
      <w:hyperlink r:id="rId8" w:history="1">
        <w:r w:rsidRPr="00185AEA">
          <w:rPr>
            <w:rStyle w:val="Hyperlink"/>
            <w:rFonts w:ascii="Calibri" w:hAnsi="Calibri" w:cs="Calibri"/>
            <w:sz w:val="28"/>
            <w:szCs w:val="28"/>
            <w:highlight w:val="yellow"/>
          </w:rPr>
          <w:t>SBCTC website</w:t>
        </w:r>
      </w:hyperlink>
      <w:r w:rsidRPr="00185AEA">
        <w:rPr>
          <w:rFonts w:ascii="Calibri" w:hAnsi="Calibri" w:cs="Calibri"/>
          <w:sz w:val="28"/>
          <w:szCs w:val="28"/>
          <w:highlight w:val="yellow"/>
        </w:rPr>
        <w:t xml:space="preserve">. </w:t>
      </w:r>
      <w:r w:rsidRPr="00185AEA">
        <w:rPr>
          <w:rFonts w:ascii="Calibri" w:hAnsi="Calibri" w:cs="Calibri"/>
          <w:i/>
          <w:iCs/>
          <w:sz w:val="28"/>
          <w:szCs w:val="28"/>
          <w:highlight w:val="yellow"/>
        </w:rPr>
        <w:t>Providers should bookmark this page!</w:t>
      </w:r>
      <w:r w:rsidRPr="00185AEA">
        <w:rPr>
          <w:rFonts w:ascii="Calibri" w:hAnsi="Calibri" w:cs="Calibri"/>
          <w:sz w:val="28"/>
          <w:szCs w:val="28"/>
          <w:highlight w:val="yellow"/>
        </w:rPr>
        <w:t xml:space="preserve"> It should be updated with PY2024-25 data by the end of November. Until then you can refer to the Target Setting Worksheet in OGMS and Table 4 in LACES.</w:t>
      </w:r>
    </w:p>
    <w:p w14:paraId="51DB47E0" w14:textId="77777777" w:rsidR="00185AEA" w:rsidRDefault="00185AEA" w:rsidP="00185AEA">
      <w:pPr>
        <w:pStyle w:val="ListParagraph"/>
        <w:rPr>
          <w:rFonts w:ascii="Calibri" w:hAnsi="Calibri" w:cs="Calibri"/>
          <w:sz w:val="28"/>
          <w:szCs w:val="28"/>
        </w:rPr>
      </w:pPr>
    </w:p>
    <w:p w14:paraId="0E48F726" w14:textId="2E857B63" w:rsidR="00126E91" w:rsidRDefault="00126E91" w:rsidP="00546094">
      <w:pPr>
        <w:pStyle w:val="ListParagraph"/>
        <w:numPr>
          <w:ilvl w:val="0"/>
          <w:numId w:val="1"/>
        </w:numPr>
        <w:rPr>
          <w:rFonts w:ascii="Calibri" w:hAnsi="Calibri" w:cs="Calibri"/>
          <w:sz w:val="28"/>
          <w:szCs w:val="28"/>
        </w:rPr>
      </w:pPr>
      <w:r w:rsidRPr="00126E91">
        <w:rPr>
          <w:rFonts w:ascii="Calibri" w:hAnsi="Calibri" w:cs="Calibri"/>
          <w:sz w:val="28"/>
          <w:szCs w:val="28"/>
        </w:rPr>
        <w:t>Do you anticipate any changes to the grant cycle for 2026-27? Is the federal funding from WIOA at risk for 2026-27?</w:t>
      </w:r>
    </w:p>
    <w:p w14:paraId="3BF520A5" w14:textId="79272C34" w:rsidR="00185AEA" w:rsidRDefault="00185AEA" w:rsidP="00185AEA">
      <w:pPr>
        <w:pStyle w:val="ListParagraph"/>
        <w:rPr>
          <w:rFonts w:ascii="Calibri" w:hAnsi="Calibri" w:cs="Calibri"/>
          <w:sz w:val="28"/>
          <w:szCs w:val="28"/>
        </w:rPr>
      </w:pPr>
      <w:r w:rsidRPr="00185AEA">
        <w:rPr>
          <w:rFonts w:ascii="Calibri" w:hAnsi="Calibri" w:cs="Calibri"/>
          <w:sz w:val="28"/>
          <w:szCs w:val="28"/>
          <w:highlight w:val="yellow"/>
        </w:rPr>
        <w:t xml:space="preserve">We do not anticipate changes for the grant cycle in 2026-27.  However, WIOA Title II AEFLA was </w:t>
      </w:r>
      <w:r w:rsidR="00570E34">
        <w:rPr>
          <w:rFonts w:ascii="Calibri" w:hAnsi="Calibri" w:cs="Calibri"/>
          <w:sz w:val="28"/>
          <w:szCs w:val="28"/>
          <w:highlight w:val="yellow"/>
        </w:rPr>
        <w:t>zeroed</w:t>
      </w:r>
      <w:r w:rsidRPr="00185AEA">
        <w:rPr>
          <w:rFonts w:ascii="Calibri" w:hAnsi="Calibri" w:cs="Calibri"/>
          <w:sz w:val="28"/>
          <w:szCs w:val="28"/>
          <w:highlight w:val="yellow"/>
        </w:rPr>
        <w:t xml:space="preserve"> out</w:t>
      </w:r>
      <w:r w:rsidR="00570E34">
        <w:rPr>
          <w:rFonts w:ascii="Calibri" w:hAnsi="Calibri" w:cs="Calibri"/>
          <w:sz w:val="28"/>
          <w:szCs w:val="28"/>
          <w:highlight w:val="yellow"/>
        </w:rPr>
        <w:t xml:space="preserve"> ($0)</w:t>
      </w:r>
      <w:r w:rsidRPr="00185AEA">
        <w:rPr>
          <w:rFonts w:ascii="Calibri" w:hAnsi="Calibri" w:cs="Calibri"/>
          <w:sz w:val="28"/>
          <w:szCs w:val="28"/>
          <w:highlight w:val="yellow"/>
        </w:rPr>
        <w:t xml:space="preserve"> in the President’s and the House’s budgets for FY26.  We are waiting for the budget to be negotiated and approved to see the result.  We do not anticipate a 100% cut, but a reduction in federal funding levels is likely.</w:t>
      </w:r>
    </w:p>
    <w:p w14:paraId="5B0F772E" w14:textId="77777777" w:rsidR="0059230E" w:rsidRPr="0059230E" w:rsidRDefault="0059230E" w:rsidP="0059230E">
      <w:pPr>
        <w:pStyle w:val="ListParagraph"/>
        <w:rPr>
          <w:rFonts w:ascii="Calibri" w:hAnsi="Calibri" w:cs="Calibri"/>
          <w:sz w:val="28"/>
          <w:szCs w:val="28"/>
        </w:rPr>
      </w:pPr>
    </w:p>
    <w:p w14:paraId="25995FCC" w14:textId="0837ADB4" w:rsidR="0059230E" w:rsidRPr="000403F1" w:rsidRDefault="0059230E" w:rsidP="0059230E">
      <w:pPr>
        <w:pStyle w:val="ListParagraph"/>
        <w:numPr>
          <w:ilvl w:val="0"/>
          <w:numId w:val="1"/>
        </w:numPr>
        <w:rPr>
          <w:rFonts w:ascii="Calibri" w:hAnsi="Calibri" w:cs="Calibri"/>
          <w:sz w:val="28"/>
          <w:szCs w:val="28"/>
        </w:rPr>
      </w:pPr>
      <w:r w:rsidRPr="00546094">
        <w:rPr>
          <w:rFonts w:ascii="Calibri" w:eastAsia="Times New Roman" w:hAnsi="Calibri" w:cs="Calibri"/>
          <w:color w:val="202124"/>
          <w:spacing w:val="3"/>
          <w:kern w:val="0"/>
          <w:sz w:val="28"/>
          <w:szCs w:val="28"/>
          <w14:ligatures w14:val="none"/>
        </w:rPr>
        <w:t xml:space="preserve">How are schools tracking contextualized learning credits (more than 1 credit earned in the course) and prior learning credits in </w:t>
      </w:r>
      <w:proofErr w:type="spellStart"/>
      <w:r w:rsidRPr="00546094">
        <w:rPr>
          <w:rFonts w:ascii="Calibri" w:eastAsia="Times New Roman" w:hAnsi="Calibri" w:cs="Calibri"/>
          <w:color w:val="202124"/>
          <w:spacing w:val="3"/>
          <w:kern w:val="0"/>
          <w:sz w:val="28"/>
          <w:szCs w:val="28"/>
          <w14:ligatures w14:val="none"/>
        </w:rPr>
        <w:t>ctc</w:t>
      </w:r>
      <w:proofErr w:type="spellEnd"/>
      <w:r w:rsidRPr="00546094">
        <w:rPr>
          <w:rFonts w:ascii="Calibri" w:eastAsia="Times New Roman" w:hAnsi="Calibri" w:cs="Calibri"/>
          <w:color w:val="202124"/>
          <w:spacing w:val="3"/>
          <w:kern w:val="0"/>
          <w:sz w:val="28"/>
          <w:szCs w:val="28"/>
          <w14:ligatures w14:val="none"/>
        </w:rPr>
        <w:t xml:space="preserve">, spreadsheets, Laces, other? </w:t>
      </w:r>
    </w:p>
    <w:p w14:paraId="07FCCC56" w14:textId="2BCD90D2" w:rsidR="0059230E" w:rsidRDefault="00DF18B2" w:rsidP="0059230E">
      <w:pPr>
        <w:pStyle w:val="ListParagraph"/>
        <w:rPr>
          <w:rFonts w:ascii="Calibri" w:eastAsia="Times New Roman" w:hAnsi="Calibri" w:cs="Calibri"/>
          <w:color w:val="202124"/>
          <w:spacing w:val="3"/>
          <w:kern w:val="0"/>
          <w:sz w:val="28"/>
          <w:szCs w:val="28"/>
          <w14:ligatures w14:val="none"/>
        </w:rPr>
      </w:pPr>
      <w:r>
        <w:rPr>
          <w:rFonts w:ascii="Calibri" w:eastAsia="Times New Roman" w:hAnsi="Calibri" w:cs="Calibri"/>
          <w:color w:val="202124"/>
          <w:spacing w:val="3"/>
          <w:kern w:val="0"/>
          <w:sz w:val="28"/>
          <w:szCs w:val="28"/>
          <w:highlight w:val="yellow"/>
          <w14:ligatures w14:val="none"/>
        </w:rPr>
        <w:t xml:space="preserve">The SBCTC fully supports contextualized teaching in all our programs, especially high School+.  This strategy really serves to accelerate student advancement and completion and is well suited for a competency-based program.  </w:t>
      </w:r>
      <w:r w:rsidR="0059230E" w:rsidRPr="000403F1">
        <w:rPr>
          <w:rFonts w:ascii="Calibri" w:eastAsia="Times New Roman" w:hAnsi="Calibri" w:cs="Calibri"/>
          <w:color w:val="202124"/>
          <w:spacing w:val="3"/>
          <w:kern w:val="0"/>
          <w:sz w:val="28"/>
          <w:szCs w:val="28"/>
          <w:highlight w:val="yellow"/>
          <w14:ligatures w14:val="none"/>
        </w:rPr>
        <w:t>Best to pose the question to other provides in CBS.</w:t>
      </w:r>
    </w:p>
    <w:p w14:paraId="6E3B1503" w14:textId="77777777" w:rsidR="0059230E" w:rsidRDefault="0059230E" w:rsidP="0059230E">
      <w:pPr>
        <w:pStyle w:val="ListParagraph"/>
        <w:rPr>
          <w:rFonts w:ascii="Calibri" w:eastAsia="Times New Roman" w:hAnsi="Calibri" w:cs="Calibri"/>
          <w:color w:val="202124"/>
          <w:spacing w:val="3"/>
          <w:kern w:val="0"/>
          <w:sz w:val="28"/>
          <w:szCs w:val="28"/>
          <w14:ligatures w14:val="none"/>
        </w:rPr>
      </w:pPr>
    </w:p>
    <w:p w14:paraId="28261D36" w14:textId="77777777" w:rsidR="0059230E" w:rsidRPr="000403F1" w:rsidRDefault="0059230E" w:rsidP="0059230E">
      <w:pPr>
        <w:pStyle w:val="ListParagraph"/>
        <w:numPr>
          <w:ilvl w:val="0"/>
          <w:numId w:val="1"/>
        </w:numPr>
        <w:rPr>
          <w:rFonts w:ascii="Calibri" w:hAnsi="Calibri" w:cs="Calibri"/>
          <w:sz w:val="28"/>
          <w:szCs w:val="28"/>
        </w:rPr>
      </w:pPr>
      <w:r w:rsidRPr="00546094">
        <w:rPr>
          <w:rFonts w:ascii="Calibri" w:eastAsia="Times New Roman" w:hAnsi="Calibri" w:cs="Calibri"/>
          <w:color w:val="202124"/>
          <w:spacing w:val="3"/>
          <w:kern w:val="0"/>
          <w:sz w:val="28"/>
          <w:szCs w:val="28"/>
          <w14:ligatures w14:val="none"/>
        </w:rPr>
        <w:t>What/how are schools and programs addressing AI in the classroom? translators vs writing lessons? Are you putting an AI policy in the syllabus? Has your school or program adopted an AI policy?</w:t>
      </w:r>
    </w:p>
    <w:p w14:paraId="593B5750" w14:textId="77777777" w:rsidR="0059230E" w:rsidRPr="000403F1" w:rsidRDefault="0059230E" w:rsidP="0059230E">
      <w:pPr>
        <w:pStyle w:val="ListParagraph"/>
        <w:rPr>
          <w:rFonts w:ascii="Calibri" w:hAnsi="Calibri" w:cs="Calibri"/>
          <w:sz w:val="28"/>
          <w:szCs w:val="28"/>
        </w:rPr>
      </w:pPr>
      <w:r w:rsidRPr="000403F1">
        <w:rPr>
          <w:rFonts w:ascii="Calibri" w:eastAsia="Times New Roman" w:hAnsi="Calibri" w:cs="Calibri"/>
          <w:color w:val="202124"/>
          <w:spacing w:val="3"/>
          <w:kern w:val="0"/>
          <w:sz w:val="28"/>
          <w:szCs w:val="28"/>
          <w:highlight w:val="yellow"/>
          <w14:ligatures w14:val="none"/>
        </w:rPr>
        <w:t>Best to pose the question to other providers in CBS.</w:t>
      </w:r>
    </w:p>
    <w:p w14:paraId="68DAACDA" w14:textId="77777777" w:rsidR="0059230E" w:rsidRDefault="0059230E" w:rsidP="0059230E">
      <w:pPr>
        <w:pStyle w:val="ListParagraph"/>
        <w:rPr>
          <w:rFonts w:ascii="Calibri" w:eastAsia="Times New Roman" w:hAnsi="Calibri" w:cs="Calibri"/>
          <w:color w:val="202124"/>
          <w:spacing w:val="3"/>
          <w:kern w:val="0"/>
          <w:sz w:val="28"/>
          <w:szCs w:val="28"/>
          <w14:ligatures w14:val="none"/>
        </w:rPr>
      </w:pPr>
    </w:p>
    <w:p w14:paraId="054E3393" w14:textId="13C8394C" w:rsidR="00546094" w:rsidRPr="00546094" w:rsidRDefault="00546094" w:rsidP="00546094">
      <w:pPr>
        <w:rPr>
          <w:rFonts w:ascii="Calibri" w:hAnsi="Calibri" w:cs="Calibri"/>
          <w:sz w:val="28"/>
          <w:szCs w:val="28"/>
        </w:rPr>
      </w:pPr>
      <w:r w:rsidRPr="00546094">
        <w:rPr>
          <w:rFonts w:ascii="Calibri" w:hAnsi="Calibri" w:cs="Calibri"/>
          <w:b/>
          <w:bCs/>
          <w:sz w:val="28"/>
          <w:szCs w:val="28"/>
        </w:rPr>
        <w:t>Parking lot items</w:t>
      </w:r>
    </w:p>
    <w:p w14:paraId="6C2922F5" w14:textId="6A2499FE" w:rsidR="00546094" w:rsidRPr="00546094" w:rsidRDefault="00546094" w:rsidP="00546094">
      <w:pPr>
        <w:rPr>
          <w:rFonts w:ascii="Calibri" w:hAnsi="Calibri" w:cs="Calibri"/>
          <w:sz w:val="28"/>
          <w:szCs w:val="28"/>
        </w:rPr>
      </w:pPr>
      <w:r w:rsidRPr="00546094">
        <w:rPr>
          <w:rFonts w:ascii="Calibri" w:hAnsi="Calibri" w:cs="Calibri"/>
          <w:color w:val="202124"/>
          <w:spacing w:val="3"/>
          <w:sz w:val="28"/>
          <w:szCs w:val="28"/>
          <w:shd w:val="clear" w:color="auto" w:fill="FFFFFF"/>
        </w:rPr>
        <w:t>LEP Pathways! :)</w:t>
      </w:r>
    </w:p>
    <w:sectPr w:rsidR="00546094" w:rsidRPr="00546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8468A"/>
    <w:multiLevelType w:val="hybridMultilevel"/>
    <w:tmpl w:val="AC801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42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94"/>
    <w:rsid w:val="000403F1"/>
    <w:rsid w:val="000B7A8C"/>
    <w:rsid w:val="00126E91"/>
    <w:rsid w:val="00185AEA"/>
    <w:rsid w:val="001F59FC"/>
    <w:rsid w:val="002739F6"/>
    <w:rsid w:val="00360565"/>
    <w:rsid w:val="00420EE0"/>
    <w:rsid w:val="004F7610"/>
    <w:rsid w:val="00546094"/>
    <w:rsid w:val="00570E34"/>
    <w:rsid w:val="0059230E"/>
    <w:rsid w:val="009C2A1C"/>
    <w:rsid w:val="00D05A1F"/>
    <w:rsid w:val="00D41F49"/>
    <w:rsid w:val="00D70BD3"/>
    <w:rsid w:val="00DF18B2"/>
    <w:rsid w:val="00EC1773"/>
    <w:rsid w:val="00F1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455C"/>
  <w15:chartTrackingRefBased/>
  <w15:docId w15:val="{2D361B1B-29F7-460D-B6EB-D979062A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094"/>
    <w:rPr>
      <w:rFonts w:eastAsiaTheme="majorEastAsia" w:cstheme="majorBidi"/>
      <w:color w:val="272727" w:themeColor="text1" w:themeTint="D8"/>
    </w:rPr>
  </w:style>
  <w:style w:type="paragraph" w:styleId="Title">
    <w:name w:val="Title"/>
    <w:basedOn w:val="Normal"/>
    <w:next w:val="Normal"/>
    <w:link w:val="TitleChar"/>
    <w:uiPriority w:val="10"/>
    <w:qFormat/>
    <w:rsid w:val="00546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094"/>
    <w:pPr>
      <w:spacing w:before="160"/>
      <w:jc w:val="center"/>
    </w:pPr>
    <w:rPr>
      <w:i/>
      <w:iCs/>
      <w:color w:val="404040" w:themeColor="text1" w:themeTint="BF"/>
    </w:rPr>
  </w:style>
  <w:style w:type="character" w:customStyle="1" w:styleId="QuoteChar">
    <w:name w:val="Quote Char"/>
    <w:basedOn w:val="DefaultParagraphFont"/>
    <w:link w:val="Quote"/>
    <w:uiPriority w:val="29"/>
    <w:rsid w:val="00546094"/>
    <w:rPr>
      <w:i/>
      <w:iCs/>
      <w:color w:val="404040" w:themeColor="text1" w:themeTint="BF"/>
    </w:rPr>
  </w:style>
  <w:style w:type="paragraph" w:styleId="ListParagraph">
    <w:name w:val="List Paragraph"/>
    <w:basedOn w:val="Normal"/>
    <w:uiPriority w:val="34"/>
    <w:qFormat/>
    <w:rsid w:val="00546094"/>
    <w:pPr>
      <w:ind w:left="720"/>
      <w:contextualSpacing/>
    </w:pPr>
  </w:style>
  <w:style w:type="character" w:styleId="IntenseEmphasis">
    <w:name w:val="Intense Emphasis"/>
    <w:basedOn w:val="DefaultParagraphFont"/>
    <w:uiPriority w:val="21"/>
    <w:qFormat/>
    <w:rsid w:val="00546094"/>
    <w:rPr>
      <w:i/>
      <w:iCs/>
      <w:color w:val="0F4761" w:themeColor="accent1" w:themeShade="BF"/>
    </w:rPr>
  </w:style>
  <w:style w:type="paragraph" w:styleId="IntenseQuote">
    <w:name w:val="Intense Quote"/>
    <w:basedOn w:val="Normal"/>
    <w:next w:val="Normal"/>
    <w:link w:val="IntenseQuoteChar"/>
    <w:uiPriority w:val="30"/>
    <w:qFormat/>
    <w:rsid w:val="00546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094"/>
    <w:rPr>
      <w:i/>
      <w:iCs/>
      <w:color w:val="0F4761" w:themeColor="accent1" w:themeShade="BF"/>
    </w:rPr>
  </w:style>
  <w:style w:type="character" w:styleId="IntenseReference">
    <w:name w:val="Intense Reference"/>
    <w:basedOn w:val="DefaultParagraphFont"/>
    <w:uiPriority w:val="32"/>
    <w:qFormat/>
    <w:rsid w:val="00546094"/>
    <w:rPr>
      <w:b/>
      <w:bCs/>
      <w:smallCaps/>
      <w:color w:val="0F4761" w:themeColor="accent1" w:themeShade="BF"/>
      <w:spacing w:val="5"/>
    </w:rPr>
  </w:style>
  <w:style w:type="character" w:styleId="Hyperlink">
    <w:name w:val="Hyperlink"/>
    <w:basedOn w:val="DefaultParagraphFont"/>
    <w:uiPriority w:val="99"/>
    <w:unhideWhenUsed/>
    <w:rsid w:val="00185AEA"/>
    <w:rPr>
      <w:color w:val="467886"/>
      <w:u w:val="single"/>
    </w:rPr>
  </w:style>
  <w:style w:type="character" w:styleId="UnresolvedMention">
    <w:name w:val="Unresolved Mention"/>
    <w:basedOn w:val="DefaultParagraphFont"/>
    <w:uiPriority w:val="99"/>
    <w:semiHidden/>
    <w:unhideWhenUsed/>
    <w:rsid w:val="00273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ctc.edu/colleges-staff/collegeaccess/research-data/basic-education-for-adults-quarterly-performance-dashboard" TargetMode="External"/><Relationship Id="rId3" Type="http://schemas.openxmlformats.org/officeDocument/2006/relationships/settings" Target="settings.xml"/><Relationship Id="rId7" Type="http://schemas.openxmlformats.org/officeDocument/2006/relationships/hyperlink" Target="https://app.leg.wa.gov/wac/default.aspx?cite=180-51-0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bctc.edu/colleges-staff/policies-rules/policy-manual/chapter-5" TargetMode="External"/><Relationship Id="rId5" Type="http://schemas.openxmlformats.org/officeDocument/2006/relationships/hyperlink" Target="https://www.sbctc.edu/colleges-staff/policies-rules/policy-manual/chapter-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4562</Characters>
  <Application>Microsoft Office Word</Application>
  <DocSecurity>0</DocSecurity>
  <Lines>99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Whittle</dc:creator>
  <cp:keywords/>
  <dc:description/>
  <cp:lastModifiedBy>Troy Goracke</cp:lastModifiedBy>
  <cp:revision>2</cp:revision>
  <dcterms:created xsi:type="dcterms:W3CDTF">2025-10-09T15:39:00Z</dcterms:created>
  <dcterms:modified xsi:type="dcterms:W3CDTF">2025-10-09T15:39:00Z</dcterms:modified>
</cp:coreProperties>
</file>