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1FA7" w14:textId="06DC20E6" w:rsidR="007622D6" w:rsidRDefault="00682AC6" w:rsidP="00844C9F">
      <w:pPr>
        <w:pStyle w:val="QA"/>
      </w:pPr>
      <w:r w:rsidRPr="00086863">
        <w:rPr>
          <w:highlight w:val="yellow"/>
        </w:rPr>
        <w:t xml:space="preserve">Updated </w:t>
      </w:r>
      <w:r w:rsidR="00AF5CAD" w:rsidRPr="00086863">
        <w:rPr>
          <w:highlight w:val="yellow"/>
        </w:rPr>
        <w:t>2</w:t>
      </w:r>
      <w:r w:rsidR="00597A2B" w:rsidRPr="00086863">
        <w:rPr>
          <w:highlight w:val="yellow"/>
        </w:rPr>
        <w:t>/</w:t>
      </w:r>
      <w:r w:rsidR="00DD3B2D" w:rsidRPr="00086863">
        <w:rPr>
          <w:highlight w:val="yellow"/>
        </w:rPr>
        <w:t>1</w:t>
      </w:r>
      <w:r w:rsidR="00CC2890">
        <w:rPr>
          <w:highlight w:val="yellow"/>
        </w:rPr>
        <w:t>8</w:t>
      </w:r>
      <w:r w:rsidR="00C56D0F" w:rsidRPr="00086863">
        <w:rPr>
          <w:highlight w:val="yellow"/>
        </w:rPr>
        <w:t>/202</w:t>
      </w:r>
      <w:r w:rsidR="00086863" w:rsidRPr="00086863">
        <w:rPr>
          <w:highlight w:val="yellow"/>
        </w:rPr>
        <w:t>6</w:t>
      </w:r>
    </w:p>
    <w:p w14:paraId="30CBFF93" w14:textId="51588617" w:rsidR="00682AC6" w:rsidRPr="006333D0" w:rsidRDefault="00682AC6" w:rsidP="00682AC6">
      <w:pPr>
        <w:spacing w:after="120" w:line="240" w:lineRule="auto"/>
        <w:rPr>
          <w:rFonts w:cstheme="minorHAnsi"/>
          <w:b/>
        </w:rPr>
      </w:pPr>
      <w:r w:rsidRPr="006333D0">
        <w:rPr>
          <w:rFonts w:cstheme="minorHAnsi"/>
          <w:b/>
        </w:rPr>
        <w:t xml:space="preserve">SBCTC considers answers in this Questions and Answers (Q&amp;A) document to be the only official source for answers related to this funding source, aside from the Program Guidelines.  Questions (Q) and answers (A) are presented in reverse order, showing the most </w:t>
      </w:r>
      <w:r w:rsidR="006446AC" w:rsidRPr="006333D0">
        <w:rPr>
          <w:rFonts w:cstheme="minorHAnsi"/>
          <w:b/>
        </w:rPr>
        <w:t>recently received</w:t>
      </w:r>
      <w:r w:rsidRPr="006333D0">
        <w:rPr>
          <w:rFonts w:cstheme="minorHAnsi"/>
          <w:b/>
        </w:rPr>
        <w:t xml:space="preserve"> questions at the top of the document. This is so that </w:t>
      </w:r>
      <w:r w:rsidR="007940ED">
        <w:rPr>
          <w:rFonts w:cstheme="minorHAnsi"/>
          <w:b/>
        </w:rPr>
        <w:t>schools</w:t>
      </w:r>
      <w:r w:rsidRPr="006333D0">
        <w:rPr>
          <w:rFonts w:cstheme="minorHAnsi"/>
          <w:b/>
        </w:rPr>
        <w:t xml:space="preserve"> may check back frequently during the application process </w:t>
      </w:r>
      <w:r>
        <w:rPr>
          <w:rFonts w:cstheme="minorHAnsi"/>
          <w:b/>
        </w:rPr>
        <w:t>and easily see</w:t>
      </w:r>
      <w:r w:rsidRPr="006333D0">
        <w:rPr>
          <w:rFonts w:cstheme="minorHAnsi"/>
          <w:b/>
        </w:rPr>
        <w:t xml:space="preserve"> new Q&amp;As. This document will be updated through</w:t>
      </w:r>
      <w:r w:rsidR="004C4F9C">
        <w:rPr>
          <w:rFonts w:cstheme="minorHAnsi"/>
          <w:b/>
        </w:rPr>
        <w:t xml:space="preserve"> </w:t>
      </w:r>
      <w:r w:rsidR="00086863" w:rsidRPr="00086863">
        <w:rPr>
          <w:rFonts w:cstheme="minorHAnsi"/>
          <w:b/>
          <w:highlight w:val="yellow"/>
        </w:rPr>
        <w:t>Thurs</w:t>
      </w:r>
      <w:r w:rsidR="004C4F9C" w:rsidRPr="00086863">
        <w:rPr>
          <w:rFonts w:cstheme="minorHAnsi"/>
          <w:b/>
          <w:highlight w:val="yellow"/>
        </w:rPr>
        <w:t>day, February 2</w:t>
      </w:r>
      <w:r w:rsidR="00086863" w:rsidRPr="00086863">
        <w:rPr>
          <w:rFonts w:cstheme="minorHAnsi"/>
          <w:b/>
          <w:highlight w:val="yellow"/>
        </w:rPr>
        <w:t>6</w:t>
      </w:r>
      <w:r w:rsidR="004C4F9C" w:rsidRPr="00086863">
        <w:rPr>
          <w:rFonts w:cstheme="minorHAnsi"/>
          <w:b/>
          <w:highlight w:val="yellow"/>
        </w:rPr>
        <w:t>, 202</w:t>
      </w:r>
      <w:r w:rsidR="00086863" w:rsidRPr="00086863">
        <w:rPr>
          <w:rFonts w:cstheme="minorHAnsi"/>
          <w:b/>
          <w:highlight w:val="yellow"/>
        </w:rPr>
        <w:t>6</w:t>
      </w:r>
      <w:r w:rsidRPr="006333D0">
        <w:rPr>
          <w:rFonts w:cstheme="minorHAnsi"/>
          <w:b/>
        </w:rPr>
        <w:t xml:space="preserve">. </w:t>
      </w:r>
    </w:p>
    <w:p w14:paraId="49B6D92D" w14:textId="6DD8F1A8" w:rsidR="00DA046F" w:rsidRDefault="00DA046F" w:rsidP="006D346F">
      <w:pPr>
        <w:pStyle w:val="QA"/>
        <w:rPr>
          <w:color w:val="0070C0"/>
        </w:rPr>
      </w:pPr>
      <w:r>
        <w:rPr>
          <w:color w:val="0070C0"/>
        </w:rPr>
        <w:t>Q</w:t>
      </w:r>
      <w:r w:rsidR="006D346F">
        <w:rPr>
          <w:color w:val="0070C0"/>
        </w:rPr>
        <w:t>1</w:t>
      </w:r>
      <w:r>
        <w:rPr>
          <w:color w:val="0070C0"/>
        </w:rPr>
        <w:t>:</w:t>
      </w:r>
      <w:r w:rsidR="006D346F">
        <w:rPr>
          <w:color w:val="0070C0"/>
        </w:rPr>
        <w:t xml:space="preserve"> </w:t>
      </w:r>
      <w:r w:rsidR="006D346F" w:rsidRPr="006D346F">
        <w:rPr>
          <w:color w:val="0070C0"/>
        </w:rPr>
        <w:t>Will the PowerPoint slides be shared?</w:t>
      </w:r>
    </w:p>
    <w:p w14:paraId="17AE90DE" w14:textId="4E9E1A6E" w:rsidR="00DA046F" w:rsidRPr="00DA046F" w:rsidRDefault="00DA046F" w:rsidP="006D346F">
      <w:pPr>
        <w:pStyle w:val="QA"/>
      </w:pPr>
      <w:r w:rsidRPr="00E90E66">
        <w:t>A</w:t>
      </w:r>
      <w:r w:rsidR="006D346F">
        <w:t>1</w:t>
      </w:r>
      <w:r w:rsidRPr="00E90E66">
        <w:t>:</w:t>
      </w:r>
      <w:r w:rsidRPr="00E90E66">
        <w:tab/>
      </w:r>
      <w:r w:rsidR="006D346F" w:rsidRPr="006D346F">
        <w:t xml:space="preserve">Yes. The </w:t>
      </w:r>
      <w:r w:rsidR="006D346F">
        <w:t xml:space="preserve">PPT </w:t>
      </w:r>
      <w:r w:rsidR="006D346F" w:rsidRPr="006D346F">
        <w:t>slide</w:t>
      </w:r>
      <w:r w:rsidR="006D346F">
        <w:t xml:space="preserve">s and all grant resources are being posted to the </w:t>
      </w:r>
      <w:hyperlink r:id="rId7" w:history="1">
        <w:r w:rsidR="006D346F" w:rsidRPr="006D346F">
          <w:rPr>
            <w:rStyle w:val="Hyperlink"/>
          </w:rPr>
          <w:t>Perkins Leadership Grants</w:t>
        </w:r>
      </w:hyperlink>
      <w:r w:rsidR="006D346F">
        <w:t xml:space="preserve"> page. You will see a menu of grant programs – one titled 2025-26 Workforce Pell.</w:t>
      </w:r>
    </w:p>
    <w:p w14:paraId="5718B459" w14:textId="2268DF2E" w:rsidR="00AF5CAD" w:rsidRDefault="00AF5CAD" w:rsidP="006D346F">
      <w:pPr>
        <w:pStyle w:val="QA"/>
        <w:rPr>
          <w:color w:val="0070C0"/>
        </w:rPr>
      </w:pPr>
      <w:r>
        <w:rPr>
          <w:color w:val="0070C0"/>
        </w:rPr>
        <w:t>Q</w:t>
      </w:r>
      <w:r w:rsidR="006D346F">
        <w:rPr>
          <w:color w:val="0070C0"/>
        </w:rPr>
        <w:t>2</w:t>
      </w:r>
      <w:r>
        <w:rPr>
          <w:color w:val="0070C0"/>
        </w:rPr>
        <w:t>:</w:t>
      </w:r>
      <w:r>
        <w:rPr>
          <w:color w:val="0070C0"/>
        </w:rPr>
        <w:tab/>
      </w:r>
      <w:r w:rsidR="006D346F" w:rsidRPr="006D346F">
        <w:rPr>
          <w:color w:val="0070C0"/>
        </w:rPr>
        <w:t>Is there one award of up to five colleges? Or could there be multiple smaller consortiums?</w:t>
      </w:r>
    </w:p>
    <w:p w14:paraId="69CBA7F3" w14:textId="2C46ACCC" w:rsidR="00AF5CAD" w:rsidRPr="00E90E66" w:rsidRDefault="00AF5CAD" w:rsidP="006D346F">
      <w:pPr>
        <w:pStyle w:val="QA"/>
      </w:pPr>
      <w:r w:rsidRPr="00E90E66">
        <w:t>A</w:t>
      </w:r>
      <w:r w:rsidR="006D346F">
        <w:t>2</w:t>
      </w:r>
      <w:r w:rsidRPr="00E90E66">
        <w:t>:</w:t>
      </w:r>
      <w:r w:rsidRPr="00E90E66">
        <w:tab/>
      </w:r>
      <w:r w:rsidR="006D346F" w:rsidRPr="006D346F">
        <w:t xml:space="preserve">The guidelines currently </w:t>
      </w:r>
      <w:r w:rsidR="006D346F" w:rsidRPr="00F47E8F">
        <w:t>assume one lead college with up to four partners. Only one award is</w:t>
      </w:r>
      <w:r w:rsidR="006D346F" w:rsidRPr="006D346F">
        <w:t xml:space="preserve"> planned. If future evidence suggests a different approach, SBCTC might revisit it, but that is not currently planned.</w:t>
      </w:r>
    </w:p>
    <w:p w14:paraId="68F9CBA2" w14:textId="35B77BD1" w:rsidR="00C931E9" w:rsidRDefault="00C931E9" w:rsidP="006D346F">
      <w:pPr>
        <w:pStyle w:val="QA"/>
        <w:rPr>
          <w:color w:val="0070C0"/>
        </w:rPr>
      </w:pPr>
      <w:r>
        <w:rPr>
          <w:color w:val="0070C0"/>
        </w:rPr>
        <w:t>Q</w:t>
      </w:r>
      <w:r w:rsidR="006D346F">
        <w:rPr>
          <w:color w:val="0070C0"/>
        </w:rPr>
        <w:t>3</w:t>
      </w:r>
      <w:r>
        <w:rPr>
          <w:color w:val="0070C0"/>
        </w:rPr>
        <w:t>:</w:t>
      </w:r>
      <w:r>
        <w:rPr>
          <w:color w:val="0070C0"/>
        </w:rPr>
        <w:tab/>
      </w:r>
      <w:r w:rsidR="006D346F" w:rsidRPr="006D346F">
        <w:rPr>
          <w:color w:val="0070C0"/>
        </w:rPr>
        <w:t>Does a college need an existing program ready for Workforce Pell to participate? Or is this more theoretical and exploratory?</w:t>
      </w:r>
    </w:p>
    <w:p w14:paraId="44BB8568" w14:textId="75EFB05A" w:rsidR="00C931E9" w:rsidRPr="00C931E9" w:rsidRDefault="00C931E9" w:rsidP="00C931E9">
      <w:pPr>
        <w:pStyle w:val="QA"/>
      </w:pPr>
      <w:r w:rsidRPr="00E90E66">
        <w:t>A</w:t>
      </w:r>
      <w:r w:rsidR="006D346F">
        <w:t>3</w:t>
      </w:r>
      <w:r w:rsidRPr="00E90E66">
        <w:t>:</w:t>
      </w:r>
      <w:r w:rsidRPr="00E90E66">
        <w:tab/>
      </w:r>
      <w:r w:rsidR="006D346F">
        <w:t xml:space="preserve">A college does not need to have a program ready for Workforce Pell. This grant program is designed to support the exploration, development, and recommendation of a systemwide approach to this work. </w:t>
      </w:r>
      <w:r w:rsidRPr="00C931E9">
        <w:t xml:space="preserve"> </w:t>
      </w:r>
    </w:p>
    <w:p w14:paraId="0693E1BA" w14:textId="0B86E46B" w:rsidR="00AC632B" w:rsidRPr="00921E83" w:rsidRDefault="00AC632B" w:rsidP="006D346F">
      <w:pPr>
        <w:pStyle w:val="QA"/>
        <w:rPr>
          <w:color w:val="0070C0"/>
        </w:rPr>
      </w:pPr>
      <w:r>
        <w:rPr>
          <w:color w:val="0070C0"/>
        </w:rPr>
        <w:t>Q</w:t>
      </w:r>
      <w:r w:rsidR="006D346F">
        <w:rPr>
          <w:color w:val="0070C0"/>
        </w:rPr>
        <w:t>4</w:t>
      </w:r>
      <w:r w:rsidR="00EE7D42" w:rsidRPr="00921E83">
        <w:rPr>
          <w:color w:val="0070C0"/>
        </w:rPr>
        <w:t xml:space="preserve">: </w:t>
      </w:r>
      <w:r w:rsidR="006D346F" w:rsidRPr="00921E83">
        <w:rPr>
          <w:color w:val="0070C0"/>
        </w:rPr>
        <w:t>Is the expectation that colleges create a toolkit or systemwide resources for Workforce Pell?</w:t>
      </w:r>
      <w:r w:rsidR="00EE7D42" w:rsidRPr="00921E83">
        <w:rPr>
          <w:color w:val="0070C0"/>
        </w:rPr>
        <w:tab/>
      </w:r>
    </w:p>
    <w:p w14:paraId="7A41B618" w14:textId="786B4424" w:rsidR="00390DAB" w:rsidRPr="00921E83" w:rsidRDefault="00AC632B" w:rsidP="006D346F">
      <w:pPr>
        <w:pStyle w:val="QA"/>
      </w:pPr>
      <w:r w:rsidRPr="00921E83">
        <w:t>A</w:t>
      </w:r>
      <w:r w:rsidR="006D346F" w:rsidRPr="00921E83">
        <w:t>4</w:t>
      </w:r>
      <w:r w:rsidRPr="00921E83">
        <w:t>:</w:t>
      </w:r>
      <w:r w:rsidRPr="00921E83">
        <w:tab/>
      </w:r>
      <w:r w:rsidR="006D346F" w:rsidRPr="00921E83">
        <w:t>Not yet. That would be future work.</w:t>
      </w:r>
      <w:r w:rsidR="006D346F" w:rsidRPr="00921E83">
        <w:rPr>
          <w:rFonts w:ascii="Segoe UI" w:eastAsia="Times New Roman" w:hAnsi="Segoe UI" w:cs="Segoe UI"/>
          <w:sz w:val="21"/>
          <w:szCs w:val="21"/>
        </w:rPr>
        <w:t xml:space="preserve"> </w:t>
      </w:r>
      <w:r w:rsidR="006D346F" w:rsidRPr="00921E83">
        <w:t xml:space="preserve">This pilot focuses on foundational activities, such as </w:t>
      </w:r>
      <w:r w:rsidR="006D346F" w:rsidRPr="006D346F">
        <w:t>identifying data needs</w:t>
      </w:r>
      <w:r w:rsidR="006D346F" w:rsidRPr="00921E83">
        <w:t xml:space="preserve">, </w:t>
      </w:r>
      <w:r w:rsidR="006D346F" w:rsidRPr="006D346F">
        <w:t>exploring program eligibility</w:t>
      </w:r>
      <w:r w:rsidR="006D346F" w:rsidRPr="00921E83">
        <w:t xml:space="preserve">, </w:t>
      </w:r>
      <w:r w:rsidR="006D346F" w:rsidRPr="006D346F">
        <w:t>understanding partner roles</w:t>
      </w:r>
      <w:r w:rsidR="006D346F" w:rsidRPr="00921E83">
        <w:t xml:space="preserve">, and </w:t>
      </w:r>
      <w:r w:rsidR="006D346F" w:rsidRPr="006D346F">
        <w:t>determining what policy or process changes are required</w:t>
      </w:r>
      <w:r w:rsidR="006D346F" w:rsidRPr="00921E83">
        <w:t xml:space="preserve">. </w:t>
      </w:r>
      <w:r w:rsidR="006D346F" w:rsidRPr="006D346F">
        <w:t>These foundational insights may later inform systemwide toolkits.</w:t>
      </w:r>
    </w:p>
    <w:p w14:paraId="0A5F84B2" w14:textId="6FA06C65" w:rsidR="00597A2B" w:rsidRPr="00921E83" w:rsidRDefault="00597A2B" w:rsidP="006D346F">
      <w:pPr>
        <w:pStyle w:val="QA"/>
        <w:rPr>
          <w:color w:val="0070C0"/>
        </w:rPr>
      </w:pPr>
      <w:r w:rsidRPr="00921E83">
        <w:rPr>
          <w:color w:val="0070C0"/>
        </w:rPr>
        <w:t>Q</w:t>
      </w:r>
      <w:r w:rsidR="006D346F" w:rsidRPr="00921E83">
        <w:rPr>
          <w:color w:val="0070C0"/>
        </w:rPr>
        <w:t>5</w:t>
      </w:r>
      <w:r w:rsidRPr="00921E83">
        <w:rPr>
          <w:color w:val="0070C0"/>
        </w:rPr>
        <w:t>:</w:t>
      </w:r>
      <w:r w:rsidRPr="00921E83">
        <w:rPr>
          <w:color w:val="0070C0"/>
        </w:rPr>
        <w:tab/>
      </w:r>
      <w:r w:rsidR="006D346F" w:rsidRPr="00921E83">
        <w:rPr>
          <w:color w:val="0070C0"/>
        </w:rPr>
        <w:t>Are two applications required for the two fiscal years (FY26 and FY27)?</w:t>
      </w:r>
    </w:p>
    <w:p w14:paraId="5BD8915C" w14:textId="1137598A" w:rsidR="006D346F" w:rsidRPr="006D346F" w:rsidRDefault="00597A2B" w:rsidP="006D346F">
      <w:pPr>
        <w:pStyle w:val="QA"/>
      </w:pPr>
      <w:r w:rsidRPr="00921E83">
        <w:t>A</w:t>
      </w:r>
      <w:r w:rsidR="006D346F" w:rsidRPr="00921E83">
        <w:t>5</w:t>
      </w:r>
      <w:r w:rsidRPr="00921E83">
        <w:t>:</w:t>
      </w:r>
      <w:r w:rsidRPr="00921E83">
        <w:tab/>
      </w:r>
      <w:r w:rsidR="006D346F" w:rsidRPr="00921E83">
        <w:t xml:space="preserve">Only one application is required now (due February 26). </w:t>
      </w:r>
      <w:r w:rsidR="006D346F" w:rsidRPr="006D346F">
        <w:t>The selected college will automatically be the awardee for FY27 but must submit a routine second-year application in OGMS for documentation purposes. There is not a second competitive opportunity.</w:t>
      </w:r>
    </w:p>
    <w:p w14:paraId="62D2C0AB" w14:textId="77777777" w:rsidR="00921E83" w:rsidRPr="00921E83" w:rsidRDefault="006D346F" w:rsidP="00921E83">
      <w:pPr>
        <w:pStyle w:val="QA"/>
        <w:rPr>
          <w:color w:val="0070C0"/>
        </w:rPr>
      </w:pPr>
      <w:r w:rsidRPr="00921E83">
        <w:rPr>
          <w:color w:val="0070C0"/>
        </w:rPr>
        <w:t>Q6:</w:t>
      </w:r>
      <w:r w:rsidRPr="00921E83">
        <w:rPr>
          <w:color w:val="0070C0"/>
        </w:rPr>
        <w:tab/>
      </w:r>
      <w:r w:rsidR="00921E83" w:rsidRPr="00921E83">
        <w:rPr>
          <w:color w:val="0070C0"/>
        </w:rPr>
        <w:t>Must applicants designate the lead college on the initial application?</w:t>
      </w:r>
    </w:p>
    <w:p w14:paraId="2AF094DC" w14:textId="4EC2FF9C" w:rsidR="006D346F" w:rsidRPr="006D346F" w:rsidRDefault="006D346F" w:rsidP="00921E83">
      <w:pPr>
        <w:pStyle w:val="QA"/>
      </w:pPr>
      <w:r w:rsidRPr="00921E83">
        <w:t>A6:</w:t>
      </w:r>
      <w:r w:rsidRPr="00921E83">
        <w:tab/>
      </w:r>
      <w:r w:rsidR="00921E83" w:rsidRPr="00921E83">
        <w:t>Yes. The application must identify the lead college and the partner colleges. This is required because the lead college receives and manages the funds.</w:t>
      </w:r>
    </w:p>
    <w:p w14:paraId="6A8B97DB" w14:textId="3C5258C7" w:rsidR="006D346F" w:rsidRDefault="006D346F" w:rsidP="00921E83">
      <w:pPr>
        <w:pStyle w:val="QA"/>
        <w:rPr>
          <w:color w:val="0070C0"/>
        </w:rPr>
      </w:pPr>
      <w:r>
        <w:rPr>
          <w:color w:val="0070C0"/>
        </w:rPr>
        <w:t>Q</w:t>
      </w:r>
      <w:r w:rsidR="00921E83">
        <w:rPr>
          <w:color w:val="0070C0"/>
        </w:rPr>
        <w:t>7</w:t>
      </w:r>
      <w:r>
        <w:rPr>
          <w:color w:val="0070C0"/>
        </w:rPr>
        <w:t>:</w:t>
      </w:r>
      <w:r>
        <w:rPr>
          <w:color w:val="0070C0"/>
        </w:rPr>
        <w:tab/>
      </w:r>
      <w:r w:rsidR="00921E83" w:rsidRPr="00921E83">
        <w:rPr>
          <w:color w:val="0070C0"/>
        </w:rPr>
        <w:t>Does SBCTC want formal signed letters of commitment from partner colleges?</w:t>
      </w:r>
    </w:p>
    <w:p w14:paraId="0FA61021" w14:textId="113B08FA" w:rsidR="00921E83" w:rsidRPr="00921E83" w:rsidRDefault="006D346F" w:rsidP="00921E83">
      <w:pPr>
        <w:pStyle w:val="QA"/>
        <w:rPr>
          <w:b/>
          <w:bCs/>
        </w:rPr>
      </w:pPr>
      <w:r>
        <w:t>A</w:t>
      </w:r>
      <w:r w:rsidR="00921E83">
        <w:t>7</w:t>
      </w:r>
      <w:r>
        <w:t>:</w:t>
      </w:r>
      <w:r>
        <w:tab/>
      </w:r>
      <w:r w:rsidR="00921E83" w:rsidRPr="00921E83">
        <w:t xml:space="preserve">No formal letter is required. An email confirming commitment is acceptable due to the </w:t>
      </w:r>
      <w:r w:rsidR="00921E83">
        <w:t>timeline</w:t>
      </w:r>
      <w:r w:rsidR="00921E83" w:rsidRPr="00921E83">
        <w:t>.</w:t>
      </w:r>
    </w:p>
    <w:p w14:paraId="26CA1D92" w14:textId="77777777" w:rsidR="00921E83" w:rsidRPr="00921E83" w:rsidRDefault="006D346F" w:rsidP="00921E83">
      <w:pPr>
        <w:pStyle w:val="QA"/>
        <w:rPr>
          <w:color w:val="0070C0"/>
        </w:rPr>
      </w:pPr>
      <w:r>
        <w:rPr>
          <w:color w:val="0070C0"/>
        </w:rPr>
        <w:t>Q</w:t>
      </w:r>
      <w:r w:rsidR="00921E83">
        <w:rPr>
          <w:color w:val="0070C0"/>
        </w:rPr>
        <w:t>8</w:t>
      </w:r>
      <w:r>
        <w:rPr>
          <w:color w:val="0070C0"/>
        </w:rPr>
        <w:t>:</w:t>
      </w:r>
      <w:r>
        <w:rPr>
          <w:color w:val="0070C0"/>
        </w:rPr>
        <w:tab/>
      </w:r>
      <w:r w:rsidR="00921E83" w:rsidRPr="00921E83">
        <w:rPr>
          <w:color w:val="0070C0"/>
        </w:rPr>
        <w:t>Will SBCTC help “matchmake” colleges that want to partner?</w:t>
      </w:r>
    </w:p>
    <w:p w14:paraId="5A9C991E" w14:textId="0B4F91E9" w:rsidR="00921E83" w:rsidRPr="00921E83" w:rsidRDefault="006D346F" w:rsidP="00921E83">
      <w:pPr>
        <w:pStyle w:val="QA"/>
        <w:rPr>
          <w:b/>
          <w:bCs/>
        </w:rPr>
      </w:pPr>
      <w:r>
        <w:t>A</w:t>
      </w:r>
      <w:r w:rsidR="00921E83">
        <w:t>8</w:t>
      </w:r>
      <w:r>
        <w:t>:</w:t>
      </w:r>
      <w:r>
        <w:tab/>
      </w:r>
      <w:r w:rsidR="00921E83" w:rsidRPr="00921E83">
        <w:t>SBCTC does not currently know which colleges intend to serve as leads. Colleges should reach out through the WEC listserv or other networks. SBCTC can assist by sharing interest from colleges who explicitly ask SBCTC to broadcast their intent.</w:t>
      </w:r>
    </w:p>
    <w:p w14:paraId="3EA06A76" w14:textId="77777777" w:rsidR="00921E83" w:rsidRDefault="00921E83">
      <w:pPr>
        <w:rPr>
          <w:rFonts w:ascii="Franklin Gothic Book" w:hAnsi="Franklin Gothic Book"/>
          <w:color w:val="0070C0"/>
        </w:rPr>
      </w:pPr>
      <w:r>
        <w:rPr>
          <w:color w:val="0070C0"/>
        </w:rPr>
        <w:br w:type="page"/>
      </w:r>
    </w:p>
    <w:p w14:paraId="31C2877A" w14:textId="02096CD2" w:rsidR="00921E83" w:rsidRPr="00921E83" w:rsidRDefault="00921E83" w:rsidP="00921E83">
      <w:pPr>
        <w:pStyle w:val="QA"/>
        <w:rPr>
          <w:color w:val="0070C0"/>
        </w:rPr>
      </w:pPr>
      <w:r w:rsidRPr="00921E83">
        <w:rPr>
          <w:color w:val="0070C0"/>
        </w:rPr>
        <w:lastRenderedPageBreak/>
        <w:t>Q</w:t>
      </w:r>
      <w:r>
        <w:rPr>
          <w:color w:val="0070C0"/>
        </w:rPr>
        <w:t>9</w:t>
      </w:r>
      <w:r w:rsidRPr="00921E83">
        <w:rPr>
          <w:color w:val="0070C0"/>
        </w:rPr>
        <w:t>:</w:t>
      </w:r>
      <w:r w:rsidRPr="00921E83">
        <w:rPr>
          <w:color w:val="0070C0"/>
        </w:rPr>
        <w:tab/>
        <w:t>How should colleges share their intent to lead or partner?</w:t>
      </w:r>
    </w:p>
    <w:p w14:paraId="033491CC" w14:textId="66D43CEF" w:rsidR="00921E83" w:rsidRPr="00921E83" w:rsidRDefault="00921E83" w:rsidP="00921E83">
      <w:pPr>
        <w:pStyle w:val="QA"/>
      </w:pPr>
      <w:r w:rsidRPr="00921E83">
        <w:t>A</w:t>
      </w:r>
      <w:r>
        <w:t>9</w:t>
      </w:r>
      <w:r w:rsidRPr="00921E83">
        <w:t>:</w:t>
      </w:r>
      <w:r w:rsidRPr="00921E83">
        <w:tab/>
        <w:t>Colleges may</w:t>
      </w:r>
      <w:r>
        <w:t xml:space="preserve"> </w:t>
      </w:r>
      <w:r w:rsidRPr="00921E83">
        <w:t xml:space="preserve">use </w:t>
      </w:r>
      <w:r>
        <w:t>a system</w:t>
      </w:r>
      <w:r w:rsidRPr="00921E83">
        <w:t xml:space="preserve"> listserv</w:t>
      </w:r>
      <w:r>
        <w:t xml:space="preserve">, </w:t>
      </w:r>
      <w:r w:rsidRPr="00921E83">
        <w:t>coordinate directly with colleagues</w:t>
      </w:r>
      <w:r>
        <w:t xml:space="preserve">, or </w:t>
      </w:r>
      <w:r w:rsidRPr="00921E83">
        <w:t xml:space="preserve">ask SBCTC to </w:t>
      </w:r>
      <w:r>
        <w:t>share</w:t>
      </w:r>
      <w:r w:rsidRPr="00921E83">
        <w:t xml:space="preserve"> their interest </w:t>
      </w:r>
      <w:r>
        <w:t>with the rest of the system.</w:t>
      </w:r>
    </w:p>
    <w:p w14:paraId="7D2B8BAF" w14:textId="0416B5DF" w:rsidR="00921E83" w:rsidRDefault="00921E83" w:rsidP="00921E83">
      <w:pPr>
        <w:pStyle w:val="QA"/>
        <w:rPr>
          <w:color w:val="0070C0"/>
        </w:rPr>
      </w:pPr>
      <w:r>
        <w:rPr>
          <w:color w:val="0070C0"/>
        </w:rPr>
        <w:t xml:space="preserve">Q10: </w:t>
      </w:r>
      <w:r w:rsidRPr="00921E83">
        <w:rPr>
          <w:color w:val="0070C0"/>
        </w:rPr>
        <w:t>How does Continuing Education (CE) fit into Workforce Pell?</w:t>
      </w:r>
    </w:p>
    <w:p w14:paraId="0736FFCE" w14:textId="7AC210BF" w:rsidR="00A23CF0" w:rsidRDefault="00921E83" w:rsidP="00921E83">
      <w:pPr>
        <w:pStyle w:val="QA"/>
      </w:pPr>
      <w:r>
        <w:t xml:space="preserve">A10: </w:t>
      </w:r>
      <w:r w:rsidRPr="00921E83">
        <w:t>CE may contribute by demonstrating how non-credit learning supports pathways to credit-bearing credentials.</w:t>
      </w:r>
      <w:r>
        <w:t xml:space="preserve"> </w:t>
      </w:r>
      <w:r w:rsidRPr="00921E83">
        <w:t>Important elements include</w:t>
      </w:r>
      <w:r>
        <w:t xml:space="preserve"> </w:t>
      </w:r>
      <w:r w:rsidRPr="00921E83">
        <w:t>documenting how CE connects to professional</w:t>
      </w:r>
      <w:r w:rsidRPr="00921E83">
        <w:noBreakHyphen/>
        <w:t>technical pathways</w:t>
      </w:r>
      <w:r>
        <w:t xml:space="preserve">, </w:t>
      </w:r>
      <w:r w:rsidRPr="00921E83">
        <w:t xml:space="preserve">showing </w:t>
      </w:r>
      <w:r>
        <w:t xml:space="preserve">how </w:t>
      </w:r>
      <w:r w:rsidRPr="00921E83">
        <w:t>prior learning or non</w:t>
      </w:r>
      <w:r w:rsidRPr="00921E83">
        <w:noBreakHyphen/>
        <w:t>credit components lead toward approved credentials</w:t>
      </w:r>
      <w:r>
        <w:t xml:space="preserve">, and </w:t>
      </w:r>
      <w:r w:rsidRPr="00921E83">
        <w:t>providing transparency for federal and state certification processes</w:t>
      </w:r>
      <w:r>
        <w:t>.</w:t>
      </w:r>
    </w:p>
    <w:p w14:paraId="57E6A381" w14:textId="6F4CBA96" w:rsidR="00553BF5" w:rsidRDefault="00553BF5" w:rsidP="00553BF5">
      <w:pPr>
        <w:pStyle w:val="QA"/>
        <w:rPr>
          <w:color w:val="0070C0"/>
        </w:rPr>
      </w:pPr>
      <w:r>
        <w:rPr>
          <w:color w:val="0070C0"/>
        </w:rPr>
        <w:t>Q1</w:t>
      </w:r>
      <w:r>
        <w:rPr>
          <w:color w:val="0070C0"/>
        </w:rPr>
        <w:t>1</w:t>
      </w:r>
      <w:r>
        <w:rPr>
          <w:color w:val="0070C0"/>
        </w:rPr>
        <w:t xml:space="preserve">: </w:t>
      </w:r>
      <w:r w:rsidR="00B34E4D">
        <w:rPr>
          <w:color w:val="0070C0"/>
        </w:rPr>
        <w:t>Are Administration costs allowed to be charged to the grant</w:t>
      </w:r>
      <w:r w:rsidRPr="00921E83">
        <w:rPr>
          <w:color w:val="0070C0"/>
        </w:rPr>
        <w:t>?</w:t>
      </w:r>
    </w:p>
    <w:p w14:paraId="37B01030" w14:textId="52C4B849" w:rsidR="00B34E4D" w:rsidRPr="00B34E4D" w:rsidRDefault="00553BF5" w:rsidP="00B34E4D">
      <w:pPr>
        <w:pStyle w:val="QA"/>
      </w:pPr>
      <w:r>
        <w:t>A1</w:t>
      </w:r>
      <w:r>
        <w:t>1</w:t>
      </w:r>
      <w:r>
        <w:t xml:space="preserve">: </w:t>
      </w:r>
      <w:r w:rsidR="00B34E4D" w:rsidRPr="00B34E4D">
        <w:t>Each grant has unique allowable/unallowable costs based on the funding source and conditions. For this grant application - administration costs are not allowed, meaning you cannot use these funds towards general college overhead expenses.</w:t>
      </w:r>
      <w:r w:rsidR="00B34E4D">
        <w:t xml:space="preserve"> </w:t>
      </w:r>
      <w:r w:rsidR="00B34E4D" w:rsidRPr="00B34E4D">
        <w:t xml:space="preserve">For anyone doing work directly related to the program, the position needs to be written into the grant application, and those expenses </w:t>
      </w:r>
      <w:r w:rsidR="00B34E4D">
        <w:t>documented as</w:t>
      </w:r>
      <w:r w:rsidR="00B34E4D" w:rsidRPr="00B34E4D">
        <w:t xml:space="preserve"> Salary/Benefit.  It </w:t>
      </w:r>
      <w:r w:rsidR="00B34E4D" w:rsidRPr="00B34E4D">
        <w:t>must</w:t>
      </w:r>
      <w:r w:rsidR="00B34E4D" w:rsidRPr="00B34E4D">
        <w:t xml:space="preserve"> be individuals that are actively working on the project though, no supervisors or general office staff.</w:t>
      </w:r>
      <w:r w:rsidR="00B34E4D">
        <w:t xml:space="preserve"> Examples are provided in the grant guidelines.</w:t>
      </w:r>
    </w:p>
    <w:p w14:paraId="135BAD42" w14:textId="2A3941B0" w:rsidR="00CC2890" w:rsidRDefault="00CC2890" w:rsidP="00CC2890">
      <w:pPr>
        <w:pStyle w:val="QA"/>
        <w:rPr>
          <w:color w:val="0070C0"/>
        </w:rPr>
      </w:pPr>
      <w:r>
        <w:rPr>
          <w:color w:val="0070C0"/>
        </w:rPr>
        <w:t>Q1</w:t>
      </w:r>
      <w:r>
        <w:rPr>
          <w:color w:val="0070C0"/>
        </w:rPr>
        <w:t>2</w:t>
      </w:r>
      <w:r>
        <w:rPr>
          <w:color w:val="0070C0"/>
        </w:rPr>
        <w:t xml:space="preserve">: </w:t>
      </w:r>
      <w:r>
        <w:rPr>
          <w:color w:val="0070C0"/>
        </w:rPr>
        <w:t>Are college districts able to apply as one institution</w:t>
      </w:r>
      <w:r w:rsidRPr="00921E83">
        <w:rPr>
          <w:color w:val="0070C0"/>
        </w:rPr>
        <w:t>?</w:t>
      </w:r>
    </w:p>
    <w:p w14:paraId="40FE0AB5" w14:textId="4A95E568" w:rsidR="00CC2890" w:rsidRPr="00CC2890" w:rsidRDefault="00CC2890" w:rsidP="00CC2890">
      <w:pPr>
        <w:pStyle w:val="QA"/>
      </w:pPr>
      <w:r>
        <w:t>A1</w:t>
      </w:r>
      <w:r>
        <w:t>2</w:t>
      </w:r>
      <w:r>
        <w:t xml:space="preserve">: </w:t>
      </w:r>
      <w:r>
        <w:t>Only colleges are eligible to apply for these funds, not</w:t>
      </w:r>
      <w:r w:rsidRPr="00CC2890">
        <w:t xml:space="preserve"> districts.</w:t>
      </w:r>
      <w:r>
        <w:t xml:space="preserve"> A college within a district may apply on behalf of the other colleges in the district, this would not preclude them from engaging in the conversation and learning. </w:t>
      </w:r>
    </w:p>
    <w:p w14:paraId="34E1DCF6" w14:textId="6CED9093" w:rsidR="00553BF5" w:rsidRPr="00921E83" w:rsidRDefault="00553BF5" w:rsidP="00CC2890">
      <w:pPr>
        <w:pStyle w:val="QA"/>
      </w:pPr>
    </w:p>
    <w:sectPr w:rsidR="00553BF5" w:rsidRPr="00921E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B8B4" w14:textId="77777777" w:rsidR="00682AC6" w:rsidRDefault="00682AC6" w:rsidP="00682AC6">
      <w:pPr>
        <w:spacing w:after="0" w:line="240" w:lineRule="auto"/>
      </w:pPr>
      <w:r>
        <w:separator/>
      </w:r>
    </w:p>
  </w:endnote>
  <w:endnote w:type="continuationSeparator" w:id="0">
    <w:p w14:paraId="78F39418" w14:textId="77777777" w:rsidR="00682AC6" w:rsidRDefault="00682AC6" w:rsidP="0068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7ED0" w14:textId="77777777" w:rsidR="00682AC6" w:rsidRDefault="00682AC6" w:rsidP="00682AC6">
      <w:pPr>
        <w:spacing w:after="0" w:line="240" w:lineRule="auto"/>
      </w:pPr>
      <w:r>
        <w:separator/>
      </w:r>
    </w:p>
  </w:footnote>
  <w:footnote w:type="continuationSeparator" w:id="0">
    <w:p w14:paraId="5DCA4CDE" w14:textId="77777777" w:rsidR="00682AC6" w:rsidRDefault="00682AC6" w:rsidP="0068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1CFD" w14:textId="77A88E62" w:rsidR="00682AC6" w:rsidRPr="006333D0" w:rsidRDefault="00682AC6" w:rsidP="00682AC6">
    <w:pPr>
      <w:rPr>
        <w:b/>
        <w:sz w:val="24"/>
      </w:rPr>
    </w:pPr>
    <w:r w:rsidRPr="006333D0">
      <w:rPr>
        <w:b/>
        <w:noProof/>
        <w:sz w:val="24"/>
      </w:rPr>
      <w:drawing>
        <wp:anchor distT="0" distB="0" distL="114300" distR="114300" simplePos="0" relativeHeight="251659264" behindDoc="0" locked="0" layoutInCell="1" allowOverlap="1" wp14:anchorId="675FC6FC" wp14:editId="6061B0C6">
          <wp:simplePos x="0" y="0"/>
          <wp:positionH relativeFrom="margin">
            <wp:posOffset>4511386</wp:posOffset>
          </wp:positionH>
          <wp:positionV relativeFrom="margin">
            <wp:posOffset>-574964</wp:posOffset>
          </wp:positionV>
          <wp:extent cx="1461135" cy="521970"/>
          <wp:effectExtent l="0" t="0" r="5715"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135" cy="521970"/>
                  </a:xfrm>
                  <a:prstGeom prst="rect">
                    <a:avLst/>
                  </a:prstGeom>
                </pic:spPr>
              </pic:pic>
            </a:graphicData>
          </a:graphic>
        </wp:anchor>
      </w:drawing>
    </w:r>
    <w:r w:rsidRPr="006333D0">
      <w:rPr>
        <w:b/>
        <w:sz w:val="24"/>
      </w:rPr>
      <w:t>FY2</w:t>
    </w:r>
    <w:r w:rsidR="00E60185">
      <w:rPr>
        <w:b/>
        <w:sz w:val="24"/>
      </w:rPr>
      <w:t>6</w:t>
    </w:r>
    <w:r w:rsidRPr="006333D0">
      <w:rPr>
        <w:b/>
        <w:sz w:val="24"/>
      </w:rPr>
      <w:t xml:space="preserve"> </w:t>
    </w:r>
    <w:r w:rsidR="00086863">
      <w:rPr>
        <w:b/>
        <w:sz w:val="24"/>
      </w:rPr>
      <w:t>Workforce Pell, Perkins Special Project</w:t>
    </w:r>
    <w:r>
      <w:rPr>
        <w:b/>
        <w:sz w:val="24"/>
      </w:rPr>
      <w:t>, Questions and Answers</w:t>
    </w:r>
    <w:r w:rsidRPr="006333D0">
      <w:rPr>
        <w:b/>
        <w:sz w:val="24"/>
      </w:rPr>
      <w:t xml:space="preserve"> </w:t>
    </w:r>
  </w:p>
  <w:p w14:paraId="059B3AB8" w14:textId="77777777" w:rsidR="00682AC6" w:rsidRDefault="00682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B8C"/>
    <w:multiLevelType w:val="multilevel"/>
    <w:tmpl w:val="B47A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0F48"/>
    <w:multiLevelType w:val="multilevel"/>
    <w:tmpl w:val="E6F2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3591B"/>
    <w:multiLevelType w:val="multilevel"/>
    <w:tmpl w:val="767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F10FF"/>
    <w:multiLevelType w:val="multilevel"/>
    <w:tmpl w:val="4EA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713104">
    <w:abstractNumId w:val="1"/>
  </w:num>
  <w:num w:numId="2" w16cid:durableId="1870217397">
    <w:abstractNumId w:val="0"/>
  </w:num>
  <w:num w:numId="3" w16cid:durableId="1059547729">
    <w:abstractNumId w:val="3"/>
  </w:num>
  <w:num w:numId="4" w16cid:durableId="206838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C5"/>
    <w:rsid w:val="00012242"/>
    <w:rsid w:val="000305EC"/>
    <w:rsid w:val="000670F7"/>
    <w:rsid w:val="00086863"/>
    <w:rsid w:val="000A5C0C"/>
    <w:rsid w:val="000A6D8E"/>
    <w:rsid w:val="000B367E"/>
    <w:rsid w:val="000C0407"/>
    <w:rsid w:val="00153B50"/>
    <w:rsid w:val="00180BA3"/>
    <w:rsid w:val="001B59BD"/>
    <w:rsid w:val="001C3AE9"/>
    <w:rsid w:val="002058FB"/>
    <w:rsid w:val="00212A74"/>
    <w:rsid w:val="00216F4C"/>
    <w:rsid w:val="00223667"/>
    <w:rsid w:val="002840FC"/>
    <w:rsid w:val="002A0E4C"/>
    <w:rsid w:val="002A2F1C"/>
    <w:rsid w:val="003111D5"/>
    <w:rsid w:val="00322989"/>
    <w:rsid w:val="0032780B"/>
    <w:rsid w:val="00390DAB"/>
    <w:rsid w:val="003A372B"/>
    <w:rsid w:val="003A3842"/>
    <w:rsid w:val="003A56D5"/>
    <w:rsid w:val="003F22BF"/>
    <w:rsid w:val="004006A2"/>
    <w:rsid w:val="00415D61"/>
    <w:rsid w:val="0043760D"/>
    <w:rsid w:val="004B34E7"/>
    <w:rsid w:val="004C4F9C"/>
    <w:rsid w:val="004F3700"/>
    <w:rsid w:val="00507BF3"/>
    <w:rsid w:val="00524180"/>
    <w:rsid w:val="00525B91"/>
    <w:rsid w:val="005453DC"/>
    <w:rsid w:val="00553B08"/>
    <w:rsid w:val="00553BF5"/>
    <w:rsid w:val="00597A2B"/>
    <w:rsid w:val="005A6299"/>
    <w:rsid w:val="00621EF4"/>
    <w:rsid w:val="00637CED"/>
    <w:rsid w:val="0064075C"/>
    <w:rsid w:val="006446AC"/>
    <w:rsid w:val="006476AF"/>
    <w:rsid w:val="00650E03"/>
    <w:rsid w:val="006709E2"/>
    <w:rsid w:val="00682AC6"/>
    <w:rsid w:val="00691066"/>
    <w:rsid w:val="006C5598"/>
    <w:rsid w:val="006D346F"/>
    <w:rsid w:val="00705557"/>
    <w:rsid w:val="007055BA"/>
    <w:rsid w:val="00752C05"/>
    <w:rsid w:val="007533C3"/>
    <w:rsid w:val="007622D6"/>
    <w:rsid w:val="00765D94"/>
    <w:rsid w:val="0077006D"/>
    <w:rsid w:val="00780567"/>
    <w:rsid w:val="007940ED"/>
    <w:rsid w:val="00814AF5"/>
    <w:rsid w:val="00844C9F"/>
    <w:rsid w:val="00861E45"/>
    <w:rsid w:val="0086669E"/>
    <w:rsid w:val="00885218"/>
    <w:rsid w:val="008931F1"/>
    <w:rsid w:val="008B2579"/>
    <w:rsid w:val="008C26FA"/>
    <w:rsid w:val="008E3224"/>
    <w:rsid w:val="008F2BC5"/>
    <w:rsid w:val="008F7F73"/>
    <w:rsid w:val="009143C5"/>
    <w:rsid w:val="00916CF6"/>
    <w:rsid w:val="00921E83"/>
    <w:rsid w:val="009267ED"/>
    <w:rsid w:val="00933AB5"/>
    <w:rsid w:val="00994C63"/>
    <w:rsid w:val="009E03F5"/>
    <w:rsid w:val="00A23CF0"/>
    <w:rsid w:val="00A24606"/>
    <w:rsid w:val="00A473CA"/>
    <w:rsid w:val="00AC632B"/>
    <w:rsid w:val="00AE315C"/>
    <w:rsid w:val="00AF5CAD"/>
    <w:rsid w:val="00B34E4D"/>
    <w:rsid w:val="00B65871"/>
    <w:rsid w:val="00B71647"/>
    <w:rsid w:val="00B81F6C"/>
    <w:rsid w:val="00BB4006"/>
    <w:rsid w:val="00BC229C"/>
    <w:rsid w:val="00C407FF"/>
    <w:rsid w:val="00C42722"/>
    <w:rsid w:val="00C54056"/>
    <w:rsid w:val="00C56D0F"/>
    <w:rsid w:val="00C75123"/>
    <w:rsid w:val="00C931E9"/>
    <w:rsid w:val="00CB15B7"/>
    <w:rsid w:val="00CC2890"/>
    <w:rsid w:val="00CE1ACE"/>
    <w:rsid w:val="00D147F9"/>
    <w:rsid w:val="00D4450E"/>
    <w:rsid w:val="00DA046F"/>
    <w:rsid w:val="00DA55FB"/>
    <w:rsid w:val="00DB60E4"/>
    <w:rsid w:val="00DD3B2D"/>
    <w:rsid w:val="00E60185"/>
    <w:rsid w:val="00E66D9A"/>
    <w:rsid w:val="00E81418"/>
    <w:rsid w:val="00E90E66"/>
    <w:rsid w:val="00EB73A0"/>
    <w:rsid w:val="00EC31DA"/>
    <w:rsid w:val="00EC5616"/>
    <w:rsid w:val="00EE7D42"/>
    <w:rsid w:val="00F229BF"/>
    <w:rsid w:val="00F25CD7"/>
    <w:rsid w:val="00F47E8F"/>
    <w:rsid w:val="00F5573A"/>
    <w:rsid w:val="00FC6E65"/>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3E60"/>
  <w15:chartTrackingRefBased/>
  <w15:docId w15:val="{2C0E3493-6935-46C4-86F0-BC42C36B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
    <w:name w:val="Q&amp;A"/>
    <w:basedOn w:val="Normal"/>
    <w:qFormat/>
    <w:rsid w:val="00322989"/>
    <w:pPr>
      <w:tabs>
        <w:tab w:val="left" w:pos="360"/>
      </w:tabs>
      <w:ind w:left="360" w:hanging="360"/>
    </w:pPr>
    <w:rPr>
      <w:rFonts w:ascii="Franklin Gothic Book" w:hAnsi="Franklin Gothic Book"/>
    </w:rPr>
  </w:style>
  <w:style w:type="paragraph" w:styleId="Header">
    <w:name w:val="header"/>
    <w:basedOn w:val="Normal"/>
    <w:link w:val="HeaderChar"/>
    <w:uiPriority w:val="99"/>
    <w:unhideWhenUsed/>
    <w:rsid w:val="0068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AC6"/>
  </w:style>
  <w:style w:type="paragraph" w:styleId="Footer">
    <w:name w:val="footer"/>
    <w:basedOn w:val="Normal"/>
    <w:link w:val="FooterChar"/>
    <w:uiPriority w:val="99"/>
    <w:unhideWhenUsed/>
    <w:rsid w:val="0068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AC6"/>
  </w:style>
  <w:style w:type="character" w:styleId="Hyperlink">
    <w:name w:val="Hyperlink"/>
    <w:basedOn w:val="DefaultParagraphFont"/>
    <w:uiPriority w:val="99"/>
    <w:unhideWhenUsed/>
    <w:rsid w:val="006476AF"/>
    <w:rPr>
      <w:color w:val="0563C1" w:themeColor="hyperlink"/>
      <w:u w:val="single"/>
    </w:rPr>
  </w:style>
  <w:style w:type="character" w:styleId="UnresolvedMention">
    <w:name w:val="Unresolved Mention"/>
    <w:basedOn w:val="DefaultParagraphFont"/>
    <w:uiPriority w:val="99"/>
    <w:semiHidden/>
    <w:unhideWhenUsed/>
    <w:rsid w:val="006476AF"/>
    <w:rPr>
      <w:color w:val="605E5C"/>
      <w:shd w:val="clear" w:color="auto" w:fill="E1DFDD"/>
    </w:rPr>
  </w:style>
  <w:style w:type="character" w:styleId="FollowedHyperlink">
    <w:name w:val="FollowedHyperlink"/>
    <w:basedOn w:val="DefaultParagraphFont"/>
    <w:uiPriority w:val="99"/>
    <w:semiHidden/>
    <w:unhideWhenUsed/>
    <w:rsid w:val="00DB60E4"/>
    <w:rPr>
      <w:color w:val="954F72" w:themeColor="followedHyperlink"/>
      <w:u w:val="single"/>
    </w:rPr>
  </w:style>
  <w:style w:type="paragraph" w:styleId="NormalWeb">
    <w:name w:val="Normal (Web)"/>
    <w:basedOn w:val="Normal"/>
    <w:uiPriority w:val="99"/>
    <w:semiHidden/>
    <w:unhideWhenUsed/>
    <w:rsid w:val="006D3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51">
      <w:bodyDiv w:val="1"/>
      <w:marLeft w:val="0"/>
      <w:marRight w:val="0"/>
      <w:marTop w:val="0"/>
      <w:marBottom w:val="0"/>
      <w:divBdr>
        <w:top w:val="none" w:sz="0" w:space="0" w:color="auto"/>
        <w:left w:val="none" w:sz="0" w:space="0" w:color="auto"/>
        <w:bottom w:val="none" w:sz="0" w:space="0" w:color="auto"/>
        <w:right w:val="none" w:sz="0" w:space="0" w:color="auto"/>
      </w:divBdr>
    </w:div>
    <w:div w:id="304942757">
      <w:bodyDiv w:val="1"/>
      <w:marLeft w:val="0"/>
      <w:marRight w:val="0"/>
      <w:marTop w:val="0"/>
      <w:marBottom w:val="0"/>
      <w:divBdr>
        <w:top w:val="none" w:sz="0" w:space="0" w:color="auto"/>
        <w:left w:val="none" w:sz="0" w:space="0" w:color="auto"/>
        <w:bottom w:val="none" w:sz="0" w:space="0" w:color="auto"/>
        <w:right w:val="none" w:sz="0" w:space="0" w:color="auto"/>
      </w:divBdr>
    </w:div>
    <w:div w:id="540941675">
      <w:bodyDiv w:val="1"/>
      <w:marLeft w:val="0"/>
      <w:marRight w:val="0"/>
      <w:marTop w:val="0"/>
      <w:marBottom w:val="0"/>
      <w:divBdr>
        <w:top w:val="none" w:sz="0" w:space="0" w:color="auto"/>
        <w:left w:val="none" w:sz="0" w:space="0" w:color="auto"/>
        <w:bottom w:val="none" w:sz="0" w:space="0" w:color="auto"/>
        <w:right w:val="none" w:sz="0" w:space="0" w:color="auto"/>
      </w:divBdr>
    </w:div>
    <w:div w:id="780225776">
      <w:bodyDiv w:val="1"/>
      <w:marLeft w:val="0"/>
      <w:marRight w:val="0"/>
      <w:marTop w:val="0"/>
      <w:marBottom w:val="0"/>
      <w:divBdr>
        <w:top w:val="none" w:sz="0" w:space="0" w:color="auto"/>
        <w:left w:val="none" w:sz="0" w:space="0" w:color="auto"/>
        <w:bottom w:val="none" w:sz="0" w:space="0" w:color="auto"/>
        <w:right w:val="none" w:sz="0" w:space="0" w:color="auto"/>
      </w:divBdr>
    </w:div>
    <w:div w:id="1294680788">
      <w:bodyDiv w:val="1"/>
      <w:marLeft w:val="0"/>
      <w:marRight w:val="0"/>
      <w:marTop w:val="0"/>
      <w:marBottom w:val="0"/>
      <w:divBdr>
        <w:top w:val="none" w:sz="0" w:space="0" w:color="auto"/>
        <w:left w:val="none" w:sz="0" w:space="0" w:color="auto"/>
        <w:bottom w:val="none" w:sz="0" w:space="0" w:color="auto"/>
        <w:right w:val="none" w:sz="0" w:space="0" w:color="auto"/>
      </w:divBdr>
    </w:div>
    <w:div w:id="1663699477">
      <w:bodyDiv w:val="1"/>
      <w:marLeft w:val="0"/>
      <w:marRight w:val="0"/>
      <w:marTop w:val="0"/>
      <w:marBottom w:val="0"/>
      <w:divBdr>
        <w:top w:val="none" w:sz="0" w:space="0" w:color="auto"/>
        <w:left w:val="none" w:sz="0" w:space="0" w:color="auto"/>
        <w:bottom w:val="none" w:sz="0" w:space="0" w:color="auto"/>
        <w:right w:val="none" w:sz="0" w:space="0" w:color="auto"/>
      </w:divBdr>
    </w:div>
    <w:div w:id="1807812364">
      <w:bodyDiv w:val="1"/>
      <w:marLeft w:val="0"/>
      <w:marRight w:val="0"/>
      <w:marTop w:val="0"/>
      <w:marBottom w:val="0"/>
      <w:divBdr>
        <w:top w:val="none" w:sz="0" w:space="0" w:color="auto"/>
        <w:left w:val="none" w:sz="0" w:space="0" w:color="auto"/>
        <w:bottom w:val="none" w:sz="0" w:space="0" w:color="auto"/>
        <w:right w:val="none" w:sz="0" w:space="0" w:color="auto"/>
      </w:divBdr>
    </w:div>
    <w:div w:id="1856965667">
      <w:bodyDiv w:val="1"/>
      <w:marLeft w:val="0"/>
      <w:marRight w:val="0"/>
      <w:marTop w:val="0"/>
      <w:marBottom w:val="0"/>
      <w:divBdr>
        <w:top w:val="none" w:sz="0" w:space="0" w:color="auto"/>
        <w:left w:val="none" w:sz="0" w:space="0" w:color="auto"/>
        <w:bottom w:val="none" w:sz="0" w:space="0" w:color="auto"/>
        <w:right w:val="none" w:sz="0" w:space="0" w:color="auto"/>
      </w:divBdr>
    </w:div>
    <w:div w:id="19589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bctc.edu/colleges-staff/grants/perkins-leadership-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669</Words>
  <Characters>3819</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Chungtuyco</dc:creator>
  <cp:keywords/>
  <dc:description/>
  <cp:lastModifiedBy>William  Belden</cp:lastModifiedBy>
  <cp:revision>6</cp:revision>
  <dcterms:created xsi:type="dcterms:W3CDTF">2026-02-13T15:15:00Z</dcterms:created>
  <dcterms:modified xsi:type="dcterms:W3CDTF">2026-02-18T21:46:00Z</dcterms:modified>
</cp:coreProperties>
</file>