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0209" w14:textId="4ED6B6A0" w:rsidR="009B4360" w:rsidRPr="00CB50A9" w:rsidRDefault="009B4360" w:rsidP="00C86484">
      <w:pPr>
        <w:pStyle w:val="Title"/>
        <w:spacing w:after="0"/>
        <w:jc w:val="center"/>
        <w:rPr>
          <w:rFonts w:ascii="Calibri" w:hAnsi="Calibri" w:cs="Calibri"/>
          <w:b/>
          <w:sz w:val="40"/>
        </w:rPr>
      </w:pPr>
      <w:r w:rsidRPr="00CB50A9">
        <w:rPr>
          <w:rFonts w:ascii="Calibri" w:hAnsi="Calibri" w:cs="Calibri"/>
          <w:b/>
          <w:sz w:val="40"/>
        </w:rPr>
        <w:t xml:space="preserve">User Guide </w:t>
      </w:r>
      <w:r w:rsidR="00156638" w:rsidRPr="00CB50A9">
        <w:rPr>
          <w:rFonts w:ascii="Calibri" w:hAnsi="Calibri" w:cs="Calibri"/>
          <w:b/>
          <w:sz w:val="40"/>
        </w:rPr>
        <w:t>PY</w:t>
      </w:r>
      <w:r w:rsidR="00EC18D6" w:rsidRPr="00CB50A9">
        <w:rPr>
          <w:rFonts w:ascii="Calibri" w:hAnsi="Calibri" w:cs="Calibri"/>
          <w:b/>
          <w:sz w:val="40"/>
        </w:rPr>
        <w:t>20</w:t>
      </w:r>
      <w:r w:rsidR="00156638" w:rsidRPr="00CB50A9">
        <w:rPr>
          <w:rFonts w:ascii="Calibri" w:hAnsi="Calibri" w:cs="Calibri"/>
          <w:b/>
          <w:sz w:val="40"/>
        </w:rPr>
        <w:t>2</w:t>
      </w:r>
      <w:r w:rsidR="00D926B9">
        <w:rPr>
          <w:rFonts w:ascii="Calibri" w:hAnsi="Calibri" w:cs="Calibri"/>
          <w:b/>
          <w:sz w:val="40"/>
        </w:rPr>
        <w:t>5-26</w:t>
      </w:r>
    </w:p>
    <w:p w14:paraId="1D0C169F" w14:textId="73A86A28" w:rsidR="00D2394B" w:rsidRPr="00CB50A9" w:rsidRDefault="009B4360" w:rsidP="009B4360">
      <w:pPr>
        <w:pStyle w:val="Subtitle"/>
        <w:jc w:val="center"/>
        <w:rPr>
          <w:rFonts w:ascii="Calibri" w:hAnsi="Calibri" w:cs="Calibri"/>
          <w:b/>
          <w:bCs/>
          <w:sz w:val="26"/>
          <w:szCs w:val="26"/>
        </w:rPr>
      </w:pPr>
      <w:r w:rsidRPr="00CB50A9">
        <w:rPr>
          <w:rFonts w:ascii="Calibri" w:hAnsi="Calibri" w:cs="Calibri"/>
          <w:b/>
          <w:sz w:val="26"/>
          <w:szCs w:val="26"/>
        </w:rPr>
        <w:t xml:space="preserve">Washington State Basic Education for Adults </w:t>
      </w:r>
      <w:r w:rsidR="00CB50A9">
        <w:rPr>
          <w:rFonts w:ascii="Calibri" w:hAnsi="Calibri" w:cs="Calibri"/>
          <w:b/>
          <w:sz w:val="26"/>
          <w:szCs w:val="26"/>
        </w:rPr>
        <w:t xml:space="preserve">(BEdA) </w:t>
      </w:r>
      <w:r w:rsidRPr="00CB50A9">
        <w:rPr>
          <w:rFonts w:ascii="Calibri" w:hAnsi="Calibri" w:cs="Calibri"/>
          <w:b/>
          <w:bCs/>
          <w:sz w:val="26"/>
          <w:szCs w:val="26"/>
        </w:rPr>
        <w:t>Assessment Policy</w:t>
      </w:r>
    </w:p>
    <w:p w14:paraId="65343146" w14:textId="18FD46E7" w:rsidR="00CB50A9" w:rsidRPr="00CB50A9" w:rsidRDefault="00C65867" w:rsidP="00CB50A9">
      <w:pPr>
        <w:rPr>
          <w:rFonts w:ascii="Calibri" w:hAnsi="Calibri" w:cs="Calibri"/>
        </w:rPr>
      </w:pPr>
      <w:r w:rsidRPr="00CB50A9">
        <w:rPr>
          <w:rFonts w:ascii="Calibri" w:hAnsi="Calibri" w:cs="Calibri"/>
        </w:rPr>
        <w:t>The</w:t>
      </w:r>
      <w:r w:rsidR="009B16EF" w:rsidRPr="00CB50A9">
        <w:rPr>
          <w:rFonts w:ascii="Calibri" w:hAnsi="Calibri" w:cs="Calibri"/>
        </w:rPr>
        <w:t xml:space="preserve"> User Guide contain</w:t>
      </w:r>
      <w:r w:rsidR="00881438" w:rsidRPr="00CB50A9">
        <w:rPr>
          <w:rFonts w:ascii="Calibri" w:hAnsi="Calibri" w:cs="Calibri"/>
        </w:rPr>
        <w:t>s</w:t>
      </w:r>
      <w:r w:rsidR="009B16EF" w:rsidRPr="00CB50A9">
        <w:rPr>
          <w:rFonts w:ascii="Calibri" w:hAnsi="Calibri" w:cs="Calibri"/>
        </w:rPr>
        <w:t xml:space="preserve"> highlights from the WA State Basic Education for Adults </w:t>
      </w:r>
      <w:hyperlink r:id="rId8" w:history="1">
        <w:r w:rsidR="009B16EF" w:rsidRPr="00CB50A9">
          <w:rPr>
            <w:rStyle w:val="Hyperlink"/>
            <w:rFonts w:ascii="Calibri" w:hAnsi="Calibri" w:cs="Calibri"/>
          </w:rPr>
          <w:t>Assessment Policy</w:t>
        </w:r>
      </w:hyperlink>
      <w:r w:rsidR="00881438" w:rsidRPr="00CB50A9">
        <w:rPr>
          <w:rFonts w:ascii="Calibri" w:hAnsi="Calibri" w:cs="Calibri"/>
        </w:rPr>
        <w:t xml:space="preserve"> and is not intended to be a sole source of information</w:t>
      </w:r>
      <w:r w:rsidR="008023BD" w:rsidRPr="00CB50A9">
        <w:rPr>
          <w:rFonts w:ascii="Calibri" w:hAnsi="Calibri" w:cs="Calibri"/>
        </w:rPr>
        <w:t>.</w:t>
      </w:r>
      <w:r w:rsidR="009B16EF" w:rsidRPr="00CB50A9">
        <w:rPr>
          <w:rFonts w:ascii="Calibri" w:hAnsi="Calibri" w:cs="Calibri"/>
        </w:rPr>
        <w:t xml:space="preserve"> </w:t>
      </w:r>
      <w:r w:rsidR="00B0661C" w:rsidRPr="00CB50A9">
        <w:rPr>
          <w:rFonts w:ascii="Calibri" w:hAnsi="Calibri" w:cs="Calibri"/>
        </w:rPr>
        <w:t xml:space="preserve">Use in conjunction with the </w:t>
      </w:r>
      <w:hyperlink r:id="rId9" w:history="1">
        <w:r w:rsidR="00B0661C" w:rsidRPr="00CB50A9">
          <w:rPr>
            <w:rStyle w:val="Hyperlink"/>
            <w:rFonts w:ascii="Calibri" w:hAnsi="Calibri" w:cs="Calibri"/>
          </w:rPr>
          <w:t>BEdA Handbook</w:t>
        </w:r>
      </w:hyperlink>
      <w:r w:rsidR="009B16EF" w:rsidRPr="00CB50A9">
        <w:rPr>
          <w:rFonts w:ascii="Calibri" w:hAnsi="Calibri" w:cs="Calibri"/>
        </w:rPr>
        <w:t>.</w:t>
      </w:r>
      <w:r w:rsidR="00775C9E" w:rsidRPr="00CB50A9">
        <w:rPr>
          <w:rFonts w:ascii="Calibri" w:hAnsi="Calibri" w:cs="Calibri"/>
        </w:rPr>
        <w:t xml:space="preserve"> </w:t>
      </w:r>
      <w:r w:rsidR="00F25C84" w:rsidRPr="00CB50A9">
        <w:rPr>
          <w:rFonts w:ascii="Calibri" w:hAnsi="Calibri" w:cs="Calibri"/>
        </w:rPr>
        <w:t>Upon program entry and any re-entry after a program exit (i.e.</w:t>
      </w:r>
      <w:r w:rsidR="00B9658B" w:rsidRPr="00CB50A9">
        <w:rPr>
          <w:rFonts w:ascii="Calibri" w:hAnsi="Calibri" w:cs="Calibri"/>
        </w:rPr>
        <w:t>,</w:t>
      </w:r>
      <w:r w:rsidR="00F25C84" w:rsidRPr="00CB50A9">
        <w:rPr>
          <w:rFonts w:ascii="Calibri" w:hAnsi="Calibri" w:cs="Calibri"/>
        </w:rPr>
        <w:t xml:space="preserve"> a new period of participation) all students served in any way with state or federal adult education funds must be assessed using the NRS-approved assessment methods described in th</w:t>
      </w:r>
      <w:r w:rsidR="005E45E9">
        <w:rPr>
          <w:rFonts w:ascii="Calibri" w:hAnsi="Calibri" w:cs="Calibri"/>
        </w:rPr>
        <w:t>e</w:t>
      </w:r>
      <w:r w:rsidR="00F25C84" w:rsidRPr="00CB50A9">
        <w:rPr>
          <w:rFonts w:ascii="Calibri" w:hAnsi="Calibri" w:cs="Calibri"/>
        </w:rPr>
        <w:t xml:space="preserve"> assessment policy.</w:t>
      </w:r>
      <w:r w:rsidR="00156638" w:rsidRPr="00CB50A9">
        <w:rPr>
          <w:rFonts w:ascii="Calibri" w:hAnsi="Calibri" w:cs="Calibri"/>
        </w:rPr>
        <w:t xml:space="preserve"> </w:t>
      </w:r>
      <w:r w:rsidR="00CB50A9" w:rsidRPr="00BD79E2">
        <w:rPr>
          <w:rFonts w:ascii="Calibri" w:hAnsi="Calibri" w:cs="Calibri"/>
          <w:b/>
          <w:bCs/>
        </w:rPr>
        <w:t>Providers must maintain documentation of all tests given and</w:t>
      </w:r>
      <w:r w:rsidR="00BD79E2" w:rsidRPr="00BD79E2">
        <w:rPr>
          <w:rFonts w:ascii="Calibri" w:hAnsi="Calibri" w:cs="Calibri"/>
          <w:b/>
          <w:bCs/>
        </w:rPr>
        <w:t xml:space="preserve"> </w:t>
      </w:r>
      <w:r w:rsidR="008711F2">
        <w:rPr>
          <w:rFonts w:ascii="Calibri" w:hAnsi="Calibri" w:cs="Calibri"/>
          <w:b/>
          <w:bCs/>
        </w:rPr>
        <w:t>at least</w:t>
      </w:r>
      <w:r w:rsidR="00BD79E2" w:rsidRPr="00BD79E2">
        <w:rPr>
          <w:rFonts w:ascii="Calibri" w:hAnsi="Calibri" w:cs="Calibri"/>
          <w:b/>
          <w:bCs/>
        </w:rPr>
        <w:t xml:space="preserve"> twelve (12)</w:t>
      </w:r>
      <w:r w:rsidR="00CB50A9" w:rsidRPr="00BD79E2">
        <w:rPr>
          <w:rFonts w:ascii="Calibri" w:hAnsi="Calibri" w:cs="Calibri"/>
          <w:b/>
          <w:bCs/>
        </w:rPr>
        <w:t xml:space="preserve"> hours</w:t>
      </w:r>
      <w:r w:rsidR="00BD79E2" w:rsidRPr="00BD79E2">
        <w:rPr>
          <w:rFonts w:ascii="Calibri" w:hAnsi="Calibri" w:cs="Calibri"/>
          <w:b/>
          <w:bCs/>
        </w:rPr>
        <w:t xml:space="preserve"> from each period of participation</w:t>
      </w:r>
      <w:r w:rsidR="00CB50A9" w:rsidRPr="00BD79E2">
        <w:rPr>
          <w:rFonts w:ascii="Calibri" w:hAnsi="Calibri" w:cs="Calibri"/>
          <w:b/>
          <w:bCs/>
        </w:rPr>
        <w:t xml:space="preserve"> for monitoring and program review purposes.</w:t>
      </w:r>
      <w:r w:rsidR="00CB50A9" w:rsidRPr="00CB50A9">
        <w:rPr>
          <w:rFonts w:ascii="Calibri" w:hAnsi="Calibri" w:cs="Calibri"/>
        </w:rPr>
        <w:t xml:space="preserve"> </w:t>
      </w:r>
    </w:p>
    <w:p w14:paraId="17AF9CFB" w14:textId="0AA6790A" w:rsidR="008D13D0" w:rsidRDefault="008D13D0" w:rsidP="008D13D0">
      <w:pPr>
        <w:pStyle w:val="Heading1"/>
        <w:spacing w:before="0"/>
        <w:rPr>
          <w:rFonts w:ascii="Calibri" w:hAnsi="Calibri" w:cs="Calibri"/>
          <w:sz w:val="26"/>
          <w:szCs w:val="26"/>
        </w:rPr>
      </w:pPr>
      <w:r>
        <w:rPr>
          <w:rFonts w:ascii="Calibri" w:hAnsi="Calibri" w:cs="Calibri"/>
          <w:sz w:val="26"/>
          <w:szCs w:val="26"/>
        </w:rPr>
        <w:t>Alternative Placement for Areas Not Required to Test</w:t>
      </w:r>
    </w:p>
    <w:p w14:paraId="13DF103F" w14:textId="72C00B2F" w:rsidR="007C6297" w:rsidRPr="007C6297" w:rsidRDefault="007C6297" w:rsidP="007C6297">
      <w:pPr>
        <w:rPr>
          <w:rFonts w:ascii="Calibri" w:hAnsi="Calibri" w:cs="Calibri"/>
        </w:rPr>
      </w:pPr>
      <w:bookmarkStart w:id="0" w:name="_Hlk173246982"/>
      <w:r w:rsidRPr="007C6297">
        <w:rPr>
          <w:rFonts w:ascii="Calibri" w:hAnsi="Calibri" w:cs="Calibri"/>
        </w:rPr>
        <w:t xml:space="preserve">Participants who are enrolled in programs designed to yield </w:t>
      </w:r>
      <w:r w:rsidR="00001572">
        <w:rPr>
          <w:rFonts w:ascii="Calibri" w:hAnsi="Calibri" w:cs="Calibri"/>
        </w:rPr>
        <w:t xml:space="preserve">the </w:t>
      </w:r>
      <w:r w:rsidRPr="007C6297">
        <w:rPr>
          <w:rFonts w:ascii="Calibri" w:hAnsi="Calibri" w:cs="Calibri"/>
        </w:rPr>
        <w:t>MSG</w:t>
      </w:r>
      <w:r w:rsidR="00001572">
        <w:rPr>
          <w:rFonts w:ascii="Calibri" w:hAnsi="Calibri" w:cs="Calibri"/>
        </w:rPr>
        <w:t xml:space="preserve"> type</w:t>
      </w:r>
      <w:r w:rsidRPr="007C6297">
        <w:rPr>
          <w:rFonts w:ascii="Calibri" w:hAnsi="Calibri" w:cs="Calibri"/>
        </w:rPr>
        <w:t xml:space="preserve">s </w:t>
      </w:r>
      <w:r w:rsidR="00001572">
        <w:rPr>
          <w:rFonts w:ascii="Calibri" w:hAnsi="Calibri" w:cs="Calibri"/>
        </w:rPr>
        <w:t xml:space="preserve">listed </w:t>
      </w:r>
      <w:r w:rsidRPr="007C6297">
        <w:rPr>
          <w:rFonts w:ascii="Calibri" w:hAnsi="Calibri" w:cs="Calibri"/>
        </w:rPr>
        <w:t>below are exempt from NRS pre- and post-testing:</w:t>
      </w:r>
    </w:p>
    <w:bookmarkEnd w:id="0"/>
    <w:p w14:paraId="6F7F03CC" w14:textId="77777777" w:rsidR="007C6297" w:rsidRPr="007C6297" w:rsidRDefault="007C6297" w:rsidP="007C6297">
      <w:pPr>
        <w:pStyle w:val="ListParagraph"/>
        <w:numPr>
          <w:ilvl w:val="0"/>
          <w:numId w:val="16"/>
        </w:numPr>
        <w:rPr>
          <w:rFonts w:ascii="Calibri" w:hAnsi="Calibri" w:cs="Calibri"/>
        </w:rPr>
      </w:pPr>
      <w:r w:rsidRPr="007C6297">
        <w:rPr>
          <w:rFonts w:ascii="Calibri" w:hAnsi="Calibri" w:cs="Calibri"/>
        </w:rPr>
        <w:t>Type 1.b. Awarding of required high school credits.</w:t>
      </w:r>
    </w:p>
    <w:p w14:paraId="76C18AD0" w14:textId="77777777" w:rsidR="007C6297" w:rsidRPr="007C6297" w:rsidRDefault="007C6297" w:rsidP="007C6297">
      <w:pPr>
        <w:pStyle w:val="ListParagraph"/>
        <w:numPr>
          <w:ilvl w:val="0"/>
          <w:numId w:val="16"/>
        </w:numPr>
        <w:rPr>
          <w:rFonts w:ascii="Calibri" w:hAnsi="Calibri" w:cs="Calibri"/>
        </w:rPr>
      </w:pPr>
      <w:r w:rsidRPr="007C6297">
        <w:rPr>
          <w:rFonts w:ascii="Calibri" w:hAnsi="Calibri" w:cs="Calibri"/>
        </w:rPr>
        <w:t>Type 1.c. Enrolled in postsecondary education and training.</w:t>
      </w:r>
    </w:p>
    <w:p w14:paraId="79F7485E" w14:textId="77777777" w:rsidR="007C6297" w:rsidRPr="007C6297" w:rsidRDefault="007C6297" w:rsidP="007C6297">
      <w:pPr>
        <w:pStyle w:val="ListParagraph"/>
        <w:numPr>
          <w:ilvl w:val="0"/>
          <w:numId w:val="16"/>
        </w:numPr>
        <w:rPr>
          <w:rFonts w:ascii="Calibri" w:hAnsi="Calibri" w:cs="Calibri"/>
        </w:rPr>
      </w:pPr>
      <w:r w:rsidRPr="007C6297">
        <w:rPr>
          <w:rFonts w:ascii="Calibri" w:hAnsi="Calibri" w:cs="Calibri"/>
        </w:rPr>
        <w:t>Type 1.d. Completing a subtest of the GED®</w:t>
      </w:r>
    </w:p>
    <w:p w14:paraId="1EA03344" w14:textId="77777777" w:rsidR="007C6297" w:rsidRPr="007C6297" w:rsidRDefault="007C6297" w:rsidP="007C6297">
      <w:pPr>
        <w:pStyle w:val="ListParagraph"/>
        <w:numPr>
          <w:ilvl w:val="0"/>
          <w:numId w:val="16"/>
        </w:numPr>
        <w:rPr>
          <w:rFonts w:ascii="Calibri" w:hAnsi="Calibri" w:cs="Calibri"/>
        </w:rPr>
      </w:pPr>
      <w:r w:rsidRPr="007C6297">
        <w:rPr>
          <w:rFonts w:ascii="Calibri" w:hAnsi="Calibri" w:cs="Calibri"/>
        </w:rPr>
        <w:t xml:space="preserve">Type 2. Documented attainment of a secondary school diploma or its recognized equivalent. </w:t>
      </w:r>
    </w:p>
    <w:p w14:paraId="02DB6796" w14:textId="77777777" w:rsidR="007C6297" w:rsidRPr="007C6297" w:rsidRDefault="007C6297" w:rsidP="007C6297">
      <w:pPr>
        <w:pStyle w:val="ListParagraph"/>
        <w:numPr>
          <w:ilvl w:val="0"/>
          <w:numId w:val="16"/>
        </w:numPr>
        <w:rPr>
          <w:rFonts w:ascii="Calibri" w:hAnsi="Calibri" w:cs="Calibri"/>
        </w:rPr>
      </w:pPr>
      <w:r w:rsidRPr="007C6297">
        <w:rPr>
          <w:rFonts w:ascii="Calibri" w:hAnsi="Calibri" w:cs="Calibri"/>
        </w:rPr>
        <w:t>Type 3. Secondary or postsecondary transcript or report card for sufficient credit hours that shows a participant is meeting the state unit’s academic standards.</w:t>
      </w:r>
    </w:p>
    <w:p w14:paraId="36219B97" w14:textId="77777777" w:rsidR="007C6297" w:rsidRPr="007C6297" w:rsidRDefault="007C6297" w:rsidP="007C6297">
      <w:pPr>
        <w:pStyle w:val="ListParagraph"/>
        <w:numPr>
          <w:ilvl w:val="0"/>
          <w:numId w:val="16"/>
        </w:numPr>
        <w:rPr>
          <w:rFonts w:ascii="Calibri" w:hAnsi="Calibri" w:cs="Calibri"/>
        </w:rPr>
      </w:pPr>
      <w:r w:rsidRPr="007C6297">
        <w:rPr>
          <w:rFonts w:ascii="Calibri" w:hAnsi="Calibri" w:cs="Calibri"/>
        </w:rPr>
        <w:t xml:space="preserve">Type 4. Satisfactory or better progress report, toward established milestones, from an employer or training provider who is providing training. </w:t>
      </w:r>
    </w:p>
    <w:p w14:paraId="02F2C909" w14:textId="0C712A3D" w:rsidR="008D13D0" w:rsidRPr="007C6297" w:rsidRDefault="007C6297" w:rsidP="007C6297">
      <w:pPr>
        <w:pStyle w:val="ListParagraph"/>
        <w:numPr>
          <w:ilvl w:val="0"/>
          <w:numId w:val="16"/>
        </w:numPr>
        <w:rPr>
          <w:rFonts w:ascii="Calibri" w:hAnsi="Calibri" w:cs="Calibri"/>
        </w:rPr>
      </w:pPr>
      <w:r w:rsidRPr="007C6297">
        <w:rPr>
          <w:rFonts w:ascii="Calibri" w:hAnsi="Calibri" w:cs="Calibri"/>
        </w:rPr>
        <w:t>Type 5. Successfully passing an exam that is required for a particular occupation or progress in attaining technical or occupational skills, as evidenced by trade-related benchmarks.</w:t>
      </w:r>
    </w:p>
    <w:p w14:paraId="0A876B29" w14:textId="5A12166A" w:rsidR="00073139" w:rsidRPr="00CB50A9" w:rsidRDefault="00073139" w:rsidP="00073139">
      <w:pPr>
        <w:pStyle w:val="Heading1"/>
        <w:spacing w:before="0"/>
        <w:rPr>
          <w:rFonts w:ascii="Calibri" w:hAnsi="Calibri" w:cs="Calibri"/>
          <w:sz w:val="26"/>
          <w:szCs w:val="26"/>
        </w:rPr>
      </w:pPr>
      <w:r w:rsidRPr="00CB50A9">
        <w:rPr>
          <w:rFonts w:ascii="Calibri" w:hAnsi="Calibri" w:cs="Calibri"/>
          <w:sz w:val="26"/>
          <w:szCs w:val="26"/>
        </w:rPr>
        <w:t>HS Credit Option</w:t>
      </w:r>
    </w:p>
    <w:p w14:paraId="13B9E70B" w14:textId="025A8B70" w:rsidR="00EA10EE" w:rsidRDefault="00F67E3C" w:rsidP="00EA10EE">
      <w:pPr>
        <w:rPr>
          <w:rFonts w:ascii="Calibri" w:hAnsi="Calibri" w:cs="Calibri"/>
        </w:rPr>
      </w:pPr>
      <w:r>
        <w:rPr>
          <w:rFonts w:ascii="Calibri" w:hAnsi="Calibri" w:cs="Calibri"/>
        </w:rPr>
        <w:t>P</w:t>
      </w:r>
      <w:r w:rsidRPr="00CB50A9">
        <w:rPr>
          <w:rFonts w:ascii="Calibri" w:hAnsi="Calibri" w:cs="Calibri"/>
        </w:rPr>
        <w:t xml:space="preserve">rogram resources are available in the </w:t>
      </w:r>
      <w:hyperlink r:id="rId10" w:history="1">
        <w:r w:rsidRPr="00CB50A9">
          <w:rPr>
            <w:rStyle w:val="Hyperlink"/>
            <w:rFonts w:ascii="Calibri" w:hAnsi="Calibri" w:cs="Calibri"/>
          </w:rPr>
          <w:t>HS+ Handbook</w:t>
        </w:r>
      </w:hyperlink>
      <w:r w:rsidRPr="00CB50A9">
        <w:rPr>
          <w:rFonts w:ascii="Calibri" w:hAnsi="Calibri" w:cs="Calibri"/>
        </w:rPr>
        <w:t xml:space="preserve">. </w:t>
      </w:r>
      <w:r w:rsidR="00C722CE" w:rsidRPr="00CB50A9">
        <w:rPr>
          <w:rFonts w:ascii="Calibri" w:hAnsi="Calibri" w:cs="Calibri"/>
        </w:rPr>
        <w:t xml:space="preserve">Programs that are authorized to offer an adult high school diploma may measure and report educational gain through the awarding of required </w:t>
      </w:r>
      <w:r w:rsidR="008023BD" w:rsidRPr="00CB50A9">
        <w:rPr>
          <w:rFonts w:ascii="Calibri" w:hAnsi="Calibri" w:cs="Calibri"/>
        </w:rPr>
        <w:t xml:space="preserve">HS </w:t>
      </w:r>
      <w:r w:rsidR="00C722CE" w:rsidRPr="00CB50A9">
        <w:rPr>
          <w:rFonts w:ascii="Calibri" w:hAnsi="Calibri" w:cs="Calibri"/>
        </w:rPr>
        <w:t xml:space="preserve">credits </w:t>
      </w:r>
      <w:r w:rsidR="008023BD" w:rsidRPr="00CB50A9">
        <w:rPr>
          <w:rFonts w:ascii="Calibri" w:hAnsi="Calibri" w:cs="Calibri"/>
        </w:rPr>
        <w:t xml:space="preserve">and </w:t>
      </w:r>
      <w:r w:rsidR="00C722CE" w:rsidRPr="00CB50A9">
        <w:rPr>
          <w:rFonts w:ascii="Calibri" w:hAnsi="Calibri" w:cs="Calibri"/>
        </w:rPr>
        <w:t>track them using the HS Credit Option.</w:t>
      </w:r>
      <w:r w:rsidR="00B9658B" w:rsidRPr="00CB50A9">
        <w:rPr>
          <w:rFonts w:ascii="Calibri" w:hAnsi="Calibri" w:cs="Calibri"/>
        </w:rPr>
        <w:t xml:space="preserve"> If a student’s instructional program changes, the HS Credit Option can be activated even after post-testing occurs or students using the HS Credit Option can return to testing.</w:t>
      </w:r>
      <w:r w:rsidR="00C90A60" w:rsidRPr="00CB50A9">
        <w:rPr>
          <w:rFonts w:ascii="Calibri" w:hAnsi="Calibri" w:cs="Calibri"/>
        </w:rPr>
        <w:t xml:space="preserve"> </w:t>
      </w:r>
      <w:r w:rsidR="00D604CB">
        <w:rPr>
          <w:rFonts w:ascii="Calibri" w:hAnsi="Calibri" w:cs="Calibri"/>
          <w:b/>
        </w:rPr>
        <w:t>Students in</w:t>
      </w:r>
      <w:r w:rsidR="00C722CE" w:rsidRPr="00CB50A9">
        <w:rPr>
          <w:rFonts w:ascii="Calibri" w:hAnsi="Calibri" w:cs="Calibri"/>
          <w:b/>
        </w:rPr>
        <w:t xml:space="preserve"> the HS Credit</w:t>
      </w:r>
      <w:r w:rsidR="00B9658B" w:rsidRPr="00CB50A9">
        <w:rPr>
          <w:rFonts w:ascii="Calibri" w:hAnsi="Calibri" w:cs="Calibri"/>
          <w:b/>
        </w:rPr>
        <w:t xml:space="preserve"> Option</w:t>
      </w:r>
      <w:r w:rsidR="00D604CB">
        <w:rPr>
          <w:rFonts w:ascii="Calibri" w:hAnsi="Calibri" w:cs="Calibri"/>
          <w:b/>
        </w:rPr>
        <w:t xml:space="preserve"> </w:t>
      </w:r>
      <w:r w:rsidR="008023BD" w:rsidRPr="00CB50A9">
        <w:rPr>
          <w:rFonts w:ascii="Calibri" w:hAnsi="Calibri" w:cs="Calibri"/>
          <w:b/>
        </w:rPr>
        <w:t>are not required</w:t>
      </w:r>
      <w:r w:rsidR="00C722CE" w:rsidRPr="00CB50A9">
        <w:rPr>
          <w:rFonts w:ascii="Calibri" w:hAnsi="Calibri" w:cs="Calibri"/>
          <w:b/>
        </w:rPr>
        <w:t xml:space="preserve"> to</w:t>
      </w:r>
      <w:r w:rsidR="00D604CB">
        <w:rPr>
          <w:rFonts w:ascii="Calibri" w:hAnsi="Calibri" w:cs="Calibri"/>
          <w:b/>
        </w:rPr>
        <w:t xml:space="preserve"> pre- or post-</w:t>
      </w:r>
      <w:r w:rsidR="00C722CE" w:rsidRPr="00CB50A9">
        <w:rPr>
          <w:rFonts w:ascii="Calibri" w:hAnsi="Calibri" w:cs="Calibri"/>
          <w:b/>
        </w:rPr>
        <w:t>test.</w:t>
      </w:r>
      <w:r w:rsidR="00C90A60" w:rsidRPr="00CB50A9">
        <w:rPr>
          <w:rFonts w:ascii="Calibri" w:hAnsi="Calibri" w:cs="Calibri"/>
        </w:rPr>
        <w:t xml:space="preserve"> </w:t>
      </w:r>
      <w:r w:rsidR="00D53134" w:rsidRPr="00CB50A9">
        <w:rPr>
          <w:rFonts w:ascii="Calibri" w:hAnsi="Calibri" w:cs="Calibri"/>
        </w:rPr>
        <w:t>When using this option, p</w:t>
      </w:r>
      <w:r w:rsidR="009B4360" w:rsidRPr="00CB50A9">
        <w:rPr>
          <w:rFonts w:ascii="Calibri" w:hAnsi="Calibri" w:cs="Calibri"/>
        </w:rPr>
        <w:t xml:space="preserve">rograms </w:t>
      </w:r>
      <w:r w:rsidR="00D53134" w:rsidRPr="00CB50A9">
        <w:rPr>
          <w:rFonts w:ascii="Calibri" w:hAnsi="Calibri" w:cs="Calibri"/>
        </w:rPr>
        <w:t>will</w:t>
      </w:r>
      <w:r w:rsidR="009B4360" w:rsidRPr="00CB50A9">
        <w:rPr>
          <w:rFonts w:ascii="Calibri" w:hAnsi="Calibri" w:cs="Calibri"/>
        </w:rPr>
        <w:t xml:space="preserve"> determine a student’s graduation requirements, evaluate prior learning, and report </w:t>
      </w:r>
      <w:r w:rsidR="00D53134" w:rsidRPr="00CB50A9">
        <w:rPr>
          <w:rFonts w:ascii="Calibri" w:hAnsi="Calibri" w:cs="Calibri"/>
        </w:rPr>
        <w:t xml:space="preserve">credits </w:t>
      </w:r>
      <w:r w:rsidR="009B4360" w:rsidRPr="00CB50A9">
        <w:rPr>
          <w:rFonts w:ascii="Calibri" w:hAnsi="Calibri" w:cs="Calibri"/>
        </w:rPr>
        <w:t xml:space="preserve">in at least quarterly. The total of Previously Earned Credits will determine a student’s </w:t>
      </w:r>
      <w:r w:rsidR="00A57033" w:rsidRPr="00CB50A9">
        <w:rPr>
          <w:rFonts w:ascii="Calibri" w:hAnsi="Calibri" w:cs="Calibri"/>
        </w:rPr>
        <w:t xml:space="preserve">entering </w:t>
      </w:r>
      <w:r w:rsidR="009B4360" w:rsidRPr="00CB50A9">
        <w:rPr>
          <w:rFonts w:ascii="Calibri" w:hAnsi="Calibri" w:cs="Calibri"/>
        </w:rPr>
        <w:t xml:space="preserve">EFL. </w:t>
      </w:r>
      <w:r w:rsidR="00EA10EE" w:rsidRPr="00EA10EE">
        <w:rPr>
          <w:rFonts w:ascii="Calibri" w:hAnsi="Calibri" w:cs="Calibri"/>
        </w:rPr>
        <w:t xml:space="preserve">The </w:t>
      </w:r>
      <w:hyperlink r:id="rId11" w:history="1">
        <w:r w:rsidR="00580050" w:rsidRPr="00580050">
          <w:rPr>
            <w:rStyle w:val="Hyperlink"/>
            <w:rFonts w:ascii="Calibri" w:hAnsi="Calibri" w:cs="Calibri"/>
          </w:rPr>
          <w:t>HS Credit Option Graduation Plans</w:t>
        </w:r>
      </w:hyperlink>
      <w:r w:rsidR="00580050">
        <w:rPr>
          <w:rFonts w:ascii="Calibri" w:hAnsi="Calibri" w:cs="Calibri"/>
        </w:rPr>
        <w:t xml:space="preserve"> in </w:t>
      </w:r>
      <w:r w:rsidR="00EA10EE" w:rsidRPr="00EA10EE">
        <w:rPr>
          <w:rFonts w:ascii="Calibri" w:hAnsi="Calibri" w:cs="Calibri"/>
        </w:rPr>
        <w:t xml:space="preserve">WABERS+ meet the State’s minimum required credits determined by the Washington State Board of Education. </w:t>
      </w:r>
    </w:p>
    <w:tbl>
      <w:tblPr>
        <w:tblStyle w:val="MediumShading1-Accent1"/>
        <w:tblpPr w:leftFromText="180" w:rightFromText="180" w:vertAnchor="text" w:horzAnchor="margin" w:tblpX="108" w:tblpY="32"/>
        <w:tblW w:w="4612" w:type="pct"/>
        <w:tblLook w:val="04A0" w:firstRow="1" w:lastRow="0" w:firstColumn="1" w:lastColumn="0" w:noHBand="0" w:noVBand="1"/>
        <w:tblCaption w:val="Federal Educational Functional Levels (EFL) Compared to HS Credit Option"/>
        <w:tblDescription w:val="table showing Federal Educational Functional Levels Compared to HS Credit Option"/>
      </w:tblPr>
      <w:tblGrid>
        <w:gridCol w:w="1271"/>
        <w:gridCol w:w="1989"/>
        <w:gridCol w:w="1919"/>
        <w:gridCol w:w="1956"/>
        <w:gridCol w:w="1698"/>
      </w:tblGrid>
      <w:tr w:rsidR="00580050" w:rsidRPr="006927EA" w14:paraId="233AE2E0" w14:textId="77777777" w:rsidTr="00D604C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pct"/>
            <w:gridSpan w:val="2"/>
            <w:tcBorders>
              <w:top w:val="single" w:sz="4" w:space="0" w:color="auto"/>
              <w:left w:val="single" w:sz="4" w:space="0" w:color="auto"/>
              <w:bottom w:val="single" w:sz="4" w:space="0" w:color="auto"/>
              <w:right w:val="single" w:sz="4" w:space="0" w:color="auto"/>
            </w:tcBorders>
            <w:vAlign w:val="center"/>
          </w:tcPr>
          <w:p w14:paraId="3ABD1889" w14:textId="77777777" w:rsidR="00580050" w:rsidRPr="00D604CB" w:rsidRDefault="00580050" w:rsidP="00B92FB9">
            <w:pPr>
              <w:jc w:val="center"/>
              <w:rPr>
                <w:rFonts w:ascii="Calibri" w:hAnsi="Calibri" w:cs="Calibri"/>
              </w:rPr>
            </w:pPr>
            <w:r w:rsidRPr="00D604CB">
              <w:rPr>
                <w:rFonts w:ascii="Calibri" w:hAnsi="Calibri" w:cs="Calibri"/>
              </w:rPr>
              <w:t>State Required High School Credits*</w:t>
            </w:r>
          </w:p>
        </w:tc>
        <w:tc>
          <w:tcPr>
            <w:tcW w:w="1086" w:type="pct"/>
            <w:tcBorders>
              <w:top w:val="single" w:sz="4" w:space="0" w:color="auto"/>
              <w:left w:val="single" w:sz="4" w:space="0" w:color="auto"/>
              <w:bottom w:val="single" w:sz="4" w:space="0" w:color="auto"/>
              <w:right w:val="single" w:sz="4" w:space="0" w:color="auto"/>
            </w:tcBorders>
            <w:vAlign w:val="center"/>
          </w:tcPr>
          <w:p w14:paraId="036304A2" w14:textId="77777777" w:rsidR="00580050" w:rsidRPr="00D604CB" w:rsidRDefault="00580050" w:rsidP="00B92FB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D604CB">
              <w:rPr>
                <w:rFonts w:ascii="Calibri" w:hAnsi="Calibri" w:cs="Calibri"/>
              </w:rPr>
              <w:t xml:space="preserve">19 </w:t>
            </w:r>
          </w:p>
        </w:tc>
        <w:tc>
          <w:tcPr>
            <w:tcW w:w="1107" w:type="pct"/>
            <w:tcBorders>
              <w:top w:val="single" w:sz="4" w:space="0" w:color="auto"/>
              <w:left w:val="single" w:sz="4" w:space="0" w:color="auto"/>
              <w:bottom w:val="single" w:sz="4" w:space="0" w:color="auto"/>
              <w:right w:val="single" w:sz="4" w:space="0" w:color="auto"/>
            </w:tcBorders>
            <w:vAlign w:val="center"/>
          </w:tcPr>
          <w:p w14:paraId="08B56B8F" w14:textId="77777777" w:rsidR="00580050" w:rsidRPr="00D604CB" w:rsidRDefault="00580050" w:rsidP="00B92FB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D604CB">
              <w:rPr>
                <w:rFonts w:ascii="Calibri" w:hAnsi="Calibri" w:cs="Calibri"/>
              </w:rPr>
              <w:t>20</w:t>
            </w:r>
          </w:p>
        </w:tc>
        <w:tc>
          <w:tcPr>
            <w:tcW w:w="961" w:type="pct"/>
            <w:tcBorders>
              <w:top w:val="single" w:sz="4" w:space="0" w:color="auto"/>
              <w:left w:val="single" w:sz="4" w:space="0" w:color="auto"/>
              <w:bottom w:val="single" w:sz="4" w:space="0" w:color="auto"/>
              <w:right w:val="single" w:sz="4" w:space="0" w:color="auto"/>
            </w:tcBorders>
            <w:vAlign w:val="center"/>
          </w:tcPr>
          <w:p w14:paraId="32EC02F9" w14:textId="77777777" w:rsidR="00580050" w:rsidRPr="00D604CB" w:rsidRDefault="00580050" w:rsidP="00B92FB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D604CB">
              <w:rPr>
                <w:rFonts w:ascii="Calibri" w:hAnsi="Calibri" w:cs="Calibri"/>
              </w:rPr>
              <w:t>24</w:t>
            </w:r>
          </w:p>
        </w:tc>
      </w:tr>
      <w:tr w:rsidR="00D604CB" w:rsidRPr="006927EA" w14:paraId="7F02D0BB" w14:textId="77777777" w:rsidTr="00D604C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0" w:type="pct"/>
            <w:vMerge w:val="restart"/>
            <w:tcBorders>
              <w:top w:val="single" w:sz="4" w:space="0" w:color="auto"/>
              <w:left w:val="single" w:sz="4" w:space="0" w:color="auto"/>
              <w:right w:val="single" w:sz="4" w:space="0" w:color="auto"/>
            </w:tcBorders>
            <w:shd w:val="clear" w:color="auto" w:fill="auto"/>
            <w:vAlign w:val="center"/>
          </w:tcPr>
          <w:p w14:paraId="251E6BBE" w14:textId="77777777" w:rsidR="00580050" w:rsidRPr="00D604CB" w:rsidRDefault="00580050" w:rsidP="00B92FB9">
            <w:pPr>
              <w:jc w:val="center"/>
              <w:rPr>
                <w:rFonts w:ascii="Calibri" w:hAnsi="Calibri" w:cs="Calibri"/>
                <w:b w:val="0"/>
              </w:rPr>
            </w:pPr>
            <w:r w:rsidRPr="00D604CB">
              <w:rPr>
                <w:rFonts w:ascii="Calibri" w:hAnsi="Calibri" w:cs="Calibri"/>
                <w:b w:val="0"/>
              </w:rPr>
              <w:t>EFL</w:t>
            </w:r>
          </w:p>
        </w:tc>
        <w:tc>
          <w:tcPr>
            <w:tcW w:w="1126" w:type="pct"/>
            <w:tcBorders>
              <w:top w:val="single" w:sz="4" w:space="0" w:color="auto"/>
              <w:left w:val="single" w:sz="4" w:space="0" w:color="auto"/>
              <w:right w:val="single" w:sz="4" w:space="0" w:color="auto"/>
            </w:tcBorders>
            <w:vAlign w:val="center"/>
          </w:tcPr>
          <w:p w14:paraId="1B180CA0" w14:textId="77777777" w:rsidR="00580050" w:rsidRPr="00D604CB" w:rsidRDefault="00580050" w:rsidP="00B92F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D604CB">
              <w:rPr>
                <w:rFonts w:ascii="Calibri" w:hAnsi="Calibri" w:cs="Calibri"/>
              </w:rPr>
              <w:t>ABE 6</w:t>
            </w:r>
          </w:p>
        </w:tc>
        <w:tc>
          <w:tcPr>
            <w:tcW w:w="1086" w:type="pct"/>
            <w:tcBorders>
              <w:top w:val="single" w:sz="4" w:space="0" w:color="auto"/>
              <w:left w:val="single" w:sz="4" w:space="0" w:color="auto"/>
              <w:bottom w:val="single" w:sz="4" w:space="0" w:color="auto"/>
              <w:right w:val="single" w:sz="4" w:space="0" w:color="auto"/>
            </w:tcBorders>
            <w:vAlign w:val="center"/>
          </w:tcPr>
          <w:p w14:paraId="04A91D3C" w14:textId="77777777" w:rsidR="00580050" w:rsidRPr="00D604CB" w:rsidRDefault="00580050" w:rsidP="00B92F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604CB">
              <w:rPr>
                <w:rFonts w:ascii="Calibri" w:hAnsi="Calibri" w:cs="Calibri"/>
              </w:rPr>
              <w:t>16 – 19</w:t>
            </w:r>
          </w:p>
        </w:tc>
        <w:tc>
          <w:tcPr>
            <w:tcW w:w="1107" w:type="pct"/>
            <w:tcBorders>
              <w:top w:val="single" w:sz="4" w:space="0" w:color="auto"/>
              <w:left w:val="single" w:sz="4" w:space="0" w:color="auto"/>
              <w:bottom w:val="single" w:sz="4" w:space="0" w:color="auto"/>
              <w:right w:val="single" w:sz="4" w:space="0" w:color="auto"/>
            </w:tcBorders>
            <w:vAlign w:val="center"/>
          </w:tcPr>
          <w:p w14:paraId="66D348BB" w14:textId="77777777" w:rsidR="00580050" w:rsidRPr="00D604CB" w:rsidRDefault="00580050" w:rsidP="00B92F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604CB">
              <w:rPr>
                <w:rFonts w:ascii="Calibri" w:hAnsi="Calibri" w:cs="Calibri"/>
              </w:rPr>
              <w:t>17 – 20</w:t>
            </w:r>
          </w:p>
        </w:tc>
        <w:tc>
          <w:tcPr>
            <w:tcW w:w="961" w:type="pct"/>
            <w:tcBorders>
              <w:top w:val="single" w:sz="4" w:space="0" w:color="auto"/>
              <w:left w:val="single" w:sz="4" w:space="0" w:color="auto"/>
              <w:bottom w:val="single" w:sz="4" w:space="0" w:color="auto"/>
              <w:right w:val="single" w:sz="4" w:space="0" w:color="auto"/>
            </w:tcBorders>
            <w:vAlign w:val="center"/>
          </w:tcPr>
          <w:p w14:paraId="529A2824" w14:textId="77777777" w:rsidR="00580050" w:rsidRPr="00D604CB" w:rsidRDefault="00580050" w:rsidP="00B92F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604CB">
              <w:rPr>
                <w:rFonts w:ascii="Calibri" w:hAnsi="Calibri" w:cs="Calibri"/>
              </w:rPr>
              <w:t>21 – 24</w:t>
            </w:r>
          </w:p>
        </w:tc>
      </w:tr>
      <w:tr w:rsidR="00580050" w:rsidRPr="006927EA" w14:paraId="730D90CB" w14:textId="77777777" w:rsidTr="00D604C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0" w:type="pct"/>
            <w:vMerge/>
            <w:tcBorders>
              <w:left w:val="single" w:sz="4" w:space="0" w:color="auto"/>
              <w:bottom w:val="single" w:sz="4" w:space="0" w:color="auto"/>
              <w:right w:val="single" w:sz="4" w:space="0" w:color="auto"/>
            </w:tcBorders>
            <w:shd w:val="clear" w:color="auto" w:fill="auto"/>
            <w:vAlign w:val="center"/>
          </w:tcPr>
          <w:p w14:paraId="2A0E861A" w14:textId="77777777" w:rsidR="00580050" w:rsidRPr="00D604CB" w:rsidRDefault="00580050" w:rsidP="00B92FB9">
            <w:pPr>
              <w:jc w:val="right"/>
              <w:rPr>
                <w:rFonts w:ascii="Calibri" w:hAnsi="Calibri" w:cs="Calibri"/>
                <w:b w:val="0"/>
                <w:bCs w:val="0"/>
              </w:rPr>
            </w:pPr>
          </w:p>
        </w:tc>
        <w:tc>
          <w:tcPr>
            <w:tcW w:w="1126" w:type="pct"/>
            <w:tcBorders>
              <w:left w:val="single" w:sz="4" w:space="0" w:color="auto"/>
              <w:bottom w:val="single" w:sz="4" w:space="0" w:color="auto"/>
              <w:right w:val="single" w:sz="4" w:space="0" w:color="auto"/>
            </w:tcBorders>
            <w:vAlign w:val="center"/>
          </w:tcPr>
          <w:p w14:paraId="0A3B6A24" w14:textId="77777777" w:rsidR="00580050" w:rsidRPr="00D604CB" w:rsidRDefault="00580050" w:rsidP="00B92FB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604CB">
              <w:rPr>
                <w:rFonts w:ascii="Calibri" w:hAnsi="Calibri" w:cs="Calibri"/>
              </w:rPr>
              <w:t>ABE 5</w:t>
            </w:r>
          </w:p>
        </w:tc>
        <w:tc>
          <w:tcPr>
            <w:tcW w:w="1086" w:type="pct"/>
            <w:tcBorders>
              <w:top w:val="single" w:sz="4" w:space="0" w:color="auto"/>
              <w:left w:val="single" w:sz="4" w:space="0" w:color="auto"/>
              <w:bottom w:val="single" w:sz="4" w:space="0" w:color="auto"/>
              <w:right w:val="single" w:sz="4" w:space="0" w:color="auto"/>
            </w:tcBorders>
            <w:vAlign w:val="center"/>
          </w:tcPr>
          <w:p w14:paraId="2463A0A0" w14:textId="77777777" w:rsidR="00580050" w:rsidRPr="00D604CB" w:rsidRDefault="00580050" w:rsidP="00B92FB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604CB">
              <w:rPr>
                <w:rFonts w:ascii="Calibri" w:hAnsi="Calibri" w:cs="Calibri"/>
              </w:rPr>
              <w:t>0 – 15.99</w:t>
            </w:r>
          </w:p>
        </w:tc>
        <w:tc>
          <w:tcPr>
            <w:tcW w:w="1107" w:type="pct"/>
            <w:tcBorders>
              <w:top w:val="single" w:sz="4" w:space="0" w:color="auto"/>
              <w:left w:val="single" w:sz="4" w:space="0" w:color="auto"/>
              <w:bottom w:val="single" w:sz="4" w:space="0" w:color="auto"/>
              <w:right w:val="single" w:sz="4" w:space="0" w:color="auto"/>
            </w:tcBorders>
            <w:vAlign w:val="center"/>
          </w:tcPr>
          <w:p w14:paraId="1D15E0C9" w14:textId="77777777" w:rsidR="00580050" w:rsidRPr="00D604CB" w:rsidRDefault="00580050" w:rsidP="00B92FB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604CB">
              <w:rPr>
                <w:rFonts w:ascii="Calibri" w:hAnsi="Calibri" w:cs="Calibri"/>
              </w:rPr>
              <w:t>0 – 16.99</w:t>
            </w:r>
          </w:p>
        </w:tc>
        <w:tc>
          <w:tcPr>
            <w:tcW w:w="961" w:type="pct"/>
            <w:tcBorders>
              <w:top w:val="single" w:sz="4" w:space="0" w:color="auto"/>
              <w:left w:val="single" w:sz="4" w:space="0" w:color="auto"/>
              <w:bottom w:val="single" w:sz="4" w:space="0" w:color="auto"/>
              <w:right w:val="single" w:sz="4" w:space="0" w:color="auto"/>
            </w:tcBorders>
            <w:vAlign w:val="center"/>
          </w:tcPr>
          <w:p w14:paraId="6B5D3D82" w14:textId="77777777" w:rsidR="00580050" w:rsidRPr="00D604CB" w:rsidRDefault="00580050" w:rsidP="00B92FB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D604CB">
              <w:rPr>
                <w:rFonts w:ascii="Calibri" w:hAnsi="Calibri" w:cs="Calibri"/>
              </w:rPr>
              <w:t>0 – 20.99</w:t>
            </w:r>
          </w:p>
        </w:tc>
      </w:tr>
    </w:tbl>
    <w:p w14:paraId="208450E9" w14:textId="367289A1" w:rsidR="00F67E3C" w:rsidRPr="00F67E3C" w:rsidRDefault="00F67E3C" w:rsidP="00F67E3C">
      <w:pPr>
        <w:rPr>
          <w:rFonts w:ascii="Calibri" w:hAnsi="Calibri" w:cs="Calibri"/>
        </w:rPr>
      </w:pPr>
      <w:r w:rsidRPr="00F67E3C">
        <w:rPr>
          <w:rFonts w:ascii="Calibri" w:hAnsi="Calibri" w:cs="Calibri"/>
        </w:rPr>
        <w:lastRenderedPageBreak/>
        <w:t xml:space="preserve">Earned Credits will be used to determine MSG &amp; SAI Points. </w:t>
      </w:r>
      <w:r>
        <w:rPr>
          <w:rFonts w:ascii="Calibri" w:hAnsi="Calibri" w:cs="Calibri"/>
        </w:rPr>
        <w:t>Fifty percent (50%) or more</w:t>
      </w:r>
      <w:r w:rsidRPr="00F67E3C">
        <w:rPr>
          <w:rFonts w:ascii="Calibri" w:hAnsi="Calibri" w:cs="Calibri"/>
        </w:rPr>
        <w:t xml:space="preserve"> of </w:t>
      </w:r>
      <w:r>
        <w:rPr>
          <w:rFonts w:ascii="Calibri" w:hAnsi="Calibri" w:cs="Calibri"/>
        </w:rPr>
        <w:t>s</w:t>
      </w:r>
      <w:r w:rsidRPr="00F67E3C">
        <w:rPr>
          <w:rFonts w:ascii="Calibri" w:hAnsi="Calibri" w:cs="Calibri"/>
        </w:rPr>
        <w:t xml:space="preserve">tudents tracked with the HS Credit Option </w:t>
      </w:r>
      <w:r>
        <w:rPr>
          <w:rFonts w:ascii="Calibri" w:hAnsi="Calibri" w:cs="Calibri"/>
        </w:rPr>
        <w:t xml:space="preserve">must </w:t>
      </w:r>
      <w:r w:rsidRPr="00F67E3C">
        <w:rPr>
          <w:rFonts w:ascii="Calibri" w:hAnsi="Calibri" w:cs="Calibri"/>
        </w:rPr>
        <w:t>earn some required credit each academic year.</w:t>
      </w:r>
    </w:p>
    <w:p w14:paraId="5055892F" w14:textId="0CBF4344" w:rsidR="009B4360" w:rsidRPr="00CB50A9" w:rsidRDefault="00D60F64" w:rsidP="00C86484">
      <w:pPr>
        <w:pStyle w:val="Heading1"/>
        <w:spacing w:before="0" w:line="240" w:lineRule="auto"/>
        <w:rPr>
          <w:rFonts w:ascii="Calibri" w:hAnsi="Calibri" w:cs="Calibri"/>
          <w:sz w:val="26"/>
          <w:szCs w:val="26"/>
        </w:rPr>
      </w:pPr>
      <w:r w:rsidRPr="00CB50A9">
        <w:rPr>
          <w:rFonts w:ascii="Calibri" w:hAnsi="Calibri" w:cs="Calibri"/>
          <w:sz w:val="26"/>
          <w:szCs w:val="26"/>
        </w:rPr>
        <w:t xml:space="preserve">CASAS </w:t>
      </w:r>
      <w:r w:rsidR="00073139" w:rsidRPr="00CB50A9">
        <w:rPr>
          <w:rFonts w:ascii="Calibri" w:hAnsi="Calibri" w:cs="Calibri"/>
          <w:sz w:val="26"/>
          <w:szCs w:val="26"/>
        </w:rPr>
        <w:t>Testing</w:t>
      </w:r>
    </w:p>
    <w:p w14:paraId="4C82B274" w14:textId="1EF777D7" w:rsidR="00F366DF" w:rsidRPr="00CB50A9" w:rsidRDefault="004B76C4" w:rsidP="00F366DF">
      <w:pPr>
        <w:pStyle w:val="Heading2"/>
        <w:rPr>
          <w:rFonts w:ascii="Calibri" w:hAnsi="Calibri" w:cs="Calibri"/>
        </w:rPr>
      </w:pPr>
      <w:r w:rsidRPr="00CB50A9">
        <w:rPr>
          <w:rFonts w:ascii="Calibri" w:hAnsi="Calibri" w:cs="Calibri"/>
        </w:rPr>
        <w:t xml:space="preserve">Universal </w:t>
      </w:r>
      <w:r w:rsidR="00F366DF" w:rsidRPr="00CB50A9">
        <w:rPr>
          <w:rFonts w:ascii="Calibri" w:hAnsi="Calibri" w:cs="Calibri"/>
        </w:rPr>
        <w:t>Accommodati</w:t>
      </w:r>
      <w:r w:rsidRPr="00CB50A9">
        <w:rPr>
          <w:rFonts w:ascii="Calibri" w:hAnsi="Calibri" w:cs="Calibri"/>
        </w:rPr>
        <w:t>ons</w:t>
      </w:r>
      <w:r w:rsidR="00F366DF" w:rsidRPr="00CB50A9">
        <w:rPr>
          <w:rFonts w:ascii="Calibri" w:hAnsi="Calibri" w:cs="Calibri"/>
        </w:rPr>
        <w:t xml:space="preserve"> for Students with Disabilities or Other Special Needs</w:t>
      </w:r>
    </w:p>
    <w:p w14:paraId="4D04E694" w14:textId="39053C44" w:rsidR="00F366DF" w:rsidRDefault="00F16B68" w:rsidP="00F366DF">
      <w:pPr>
        <w:spacing w:after="0"/>
        <w:rPr>
          <w:rFonts w:ascii="Calibri" w:hAnsi="Calibri" w:cs="Calibri"/>
        </w:rPr>
      </w:pPr>
      <w:r w:rsidRPr="00F16B68">
        <w:rPr>
          <w:rFonts w:ascii="Calibri" w:hAnsi="Calibri" w:cs="Calibri"/>
          <w:b/>
          <w:bCs/>
        </w:rPr>
        <w:t>New to testing accommodations? </w:t>
      </w:r>
      <w:hyperlink r:id="rId12" w:tooltip="Testing Accommodations Step-by-Step" w:history="1">
        <w:r w:rsidRPr="00F16B68">
          <w:rPr>
            <w:rStyle w:val="Hyperlink"/>
            <w:rFonts w:ascii="Calibri" w:hAnsi="Calibri" w:cs="Calibri"/>
            <w:b/>
            <w:bCs/>
          </w:rPr>
          <w:t>Download</w:t>
        </w:r>
      </w:hyperlink>
      <w:r w:rsidRPr="00F16B68">
        <w:rPr>
          <w:rFonts w:ascii="Calibri" w:hAnsi="Calibri" w:cs="Calibri"/>
          <w:b/>
          <w:bCs/>
        </w:rPr>
        <w:t> a step-by-step guide.</w:t>
      </w:r>
      <w:r w:rsidRPr="00CB50A9">
        <w:rPr>
          <w:rFonts w:ascii="Calibri" w:hAnsi="Calibri" w:cs="Calibri"/>
          <w:b/>
          <w:bCs/>
        </w:rPr>
        <w:t xml:space="preserve"> </w:t>
      </w:r>
      <w:r w:rsidR="00F366DF" w:rsidRPr="00CB50A9">
        <w:rPr>
          <w:rFonts w:ascii="Calibri" w:hAnsi="Calibri" w:cs="Calibri"/>
        </w:rPr>
        <w:t xml:space="preserve">Test-taking aids may be utilized when and where appropriate for any student. </w:t>
      </w:r>
      <w:r w:rsidR="008023BD" w:rsidRPr="00CB50A9">
        <w:rPr>
          <w:rFonts w:ascii="Calibri" w:hAnsi="Calibri" w:cs="Calibri"/>
        </w:rPr>
        <w:t xml:space="preserve">Offering universally available accommodations to test administration procedures may lower barriers for individuals with hidden disabilities and those who do not have disability documentation. </w:t>
      </w:r>
      <w:r w:rsidR="00F366DF" w:rsidRPr="00CB50A9">
        <w:rPr>
          <w:rFonts w:ascii="Calibri" w:hAnsi="Calibri" w:cs="Calibri"/>
        </w:rPr>
        <w:t>These test-taking aids do not affect the administration of the test.</w:t>
      </w:r>
    </w:p>
    <w:p w14:paraId="37735100" w14:textId="77777777" w:rsidR="00694535" w:rsidRDefault="00694535" w:rsidP="00F366DF">
      <w:pPr>
        <w:spacing w:after="0"/>
        <w:rPr>
          <w:rFonts w:ascii="Calibri" w:hAnsi="Calibri" w:cs="Calibri"/>
        </w:rPr>
      </w:pPr>
    </w:p>
    <w:p w14:paraId="7A70A4CA" w14:textId="77777777" w:rsidR="00694535" w:rsidRPr="00CB50A9" w:rsidRDefault="00694535" w:rsidP="00694535">
      <w:pPr>
        <w:rPr>
          <w:rFonts w:ascii="Calibri" w:hAnsi="Calibri" w:cs="Calibri"/>
        </w:rPr>
      </w:pPr>
      <w:r w:rsidRPr="00CB50A9">
        <w:rPr>
          <w:rFonts w:ascii="Calibri" w:hAnsi="Calibri" w:cs="Calibri"/>
        </w:rPr>
        <w:t xml:space="preserve">Local providers must ensure that all students with disabilities have equal access to test </w:t>
      </w:r>
      <w:proofErr w:type="gramStart"/>
      <w:r w:rsidRPr="00CB50A9">
        <w:rPr>
          <w:rFonts w:ascii="Calibri" w:hAnsi="Calibri" w:cs="Calibri"/>
        </w:rPr>
        <w:t>accommodations</w:t>
      </w:r>
      <w:proofErr w:type="gramEnd"/>
      <w:r w:rsidRPr="00CB50A9">
        <w:rPr>
          <w:rFonts w:ascii="Calibri" w:hAnsi="Calibri" w:cs="Calibri"/>
        </w:rPr>
        <w:t xml:space="preserve">, have equal opportunities to test, and receive equal treatment in testing situations. </w:t>
      </w:r>
      <w:r w:rsidRPr="00CB50A9">
        <w:rPr>
          <w:rFonts w:ascii="Calibri" w:hAnsi="Calibri" w:cs="Calibri"/>
          <w:b/>
        </w:rPr>
        <w:t xml:space="preserve">Never change a test format locally. </w:t>
      </w:r>
      <w:r w:rsidRPr="00CB50A9">
        <w:rPr>
          <w:rFonts w:ascii="Calibri" w:hAnsi="Calibri" w:cs="Calibri"/>
        </w:rPr>
        <w:t>For information on allowable accommodations for specific students, contact </w:t>
      </w:r>
      <w:hyperlink r:id="rId13" w:history="1">
        <w:r w:rsidRPr="00CB50A9">
          <w:rPr>
            <w:rStyle w:val="Hyperlink"/>
            <w:rFonts w:ascii="Calibri" w:hAnsi="Calibri" w:cs="Calibri"/>
          </w:rPr>
          <w:t>casas@casas.org</w:t>
        </w:r>
      </w:hyperlink>
      <w:r w:rsidRPr="00CB50A9">
        <w:rPr>
          <w:rFonts w:ascii="Calibri" w:hAnsi="Calibri" w:cs="Calibri"/>
        </w:rPr>
        <w:t xml:space="preserve">. </w:t>
      </w:r>
    </w:p>
    <w:tbl>
      <w:tblPr>
        <w:tblStyle w:val="LightList-Accent1"/>
        <w:tblpPr w:leftFromText="180" w:rightFromText="180" w:vertAnchor="text" w:horzAnchor="margin" w:tblpY="89"/>
        <w:tblW w:w="0" w:type="auto"/>
        <w:tblLook w:val="04A0" w:firstRow="1" w:lastRow="0" w:firstColumn="1" w:lastColumn="0" w:noHBand="0" w:noVBand="1"/>
        <w:tblCaption w:val="Approved Test-taking Aids"/>
      </w:tblPr>
      <w:tblGrid>
        <w:gridCol w:w="3090"/>
        <w:gridCol w:w="2460"/>
        <w:gridCol w:w="2112"/>
        <w:gridCol w:w="1914"/>
      </w:tblGrid>
      <w:tr w:rsidR="00694535" w:rsidRPr="00CB50A9" w14:paraId="2657EEBA" w14:textId="77777777" w:rsidTr="006945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6" w:type="dxa"/>
            <w:gridSpan w:val="4"/>
            <w:tcBorders>
              <w:bottom w:val="single" w:sz="4" w:space="0" w:color="auto"/>
            </w:tcBorders>
          </w:tcPr>
          <w:p w14:paraId="1494AA5A" w14:textId="77777777" w:rsidR="00694535" w:rsidRPr="00CB50A9" w:rsidRDefault="00694535" w:rsidP="00694535">
            <w:pPr>
              <w:jc w:val="center"/>
              <w:rPr>
                <w:rFonts w:ascii="Calibri" w:hAnsi="Calibri" w:cs="Calibri"/>
              </w:rPr>
            </w:pPr>
            <w:r w:rsidRPr="00CB50A9">
              <w:rPr>
                <w:rFonts w:ascii="Calibri" w:hAnsi="Calibri" w:cs="Calibri"/>
              </w:rPr>
              <w:t>Examples of Test Aids/Accommodations:</w:t>
            </w:r>
          </w:p>
        </w:tc>
      </w:tr>
      <w:tr w:rsidR="00694535" w:rsidRPr="00CB50A9" w14:paraId="3627720B" w14:textId="77777777" w:rsidTr="00694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4" w:space="0" w:color="auto"/>
              <w:bottom w:val="single" w:sz="4" w:space="0" w:color="auto"/>
              <w:right w:val="single" w:sz="4" w:space="0" w:color="auto"/>
            </w:tcBorders>
          </w:tcPr>
          <w:p w14:paraId="166E199C" w14:textId="77777777" w:rsidR="00694535" w:rsidRPr="00CB50A9" w:rsidRDefault="00694535" w:rsidP="00694535">
            <w:pPr>
              <w:rPr>
                <w:rFonts w:ascii="Calibri" w:hAnsi="Calibri" w:cs="Calibri"/>
                <w:b w:val="0"/>
              </w:rPr>
            </w:pPr>
            <w:r w:rsidRPr="00CB50A9">
              <w:rPr>
                <w:rFonts w:ascii="Calibri" w:hAnsi="Calibri" w:cs="Calibri"/>
                <w:b w:val="0"/>
              </w:rPr>
              <w:t xml:space="preserve">Magnifying glasses / lenses / sheet                </w:t>
            </w:r>
          </w:p>
        </w:tc>
        <w:tc>
          <w:tcPr>
            <w:tcW w:w="2790" w:type="dxa"/>
            <w:tcBorders>
              <w:top w:val="single" w:sz="4" w:space="0" w:color="auto"/>
              <w:left w:val="single" w:sz="4" w:space="0" w:color="auto"/>
              <w:bottom w:val="single" w:sz="4" w:space="0" w:color="auto"/>
              <w:right w:val="single" w:sz="4" w:space="0" w:color="auto"/>
            </w:tcBorders>
          </w:tcPr>
          <w:p w14:paraId="18D92674" w14:textId="77777777" w:rsidR="00694535" w:rsidRPr="00CB50A9" w:rsidRDefault="00694535" w:rsidP="0069453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50A9">
              <w:rPr>
                <w:rFonts w:ascii="Calibri" w:hAnsi="Calibri" w:cs="Calibri"/>
              </w:rPr>
              <w:t xml:space="preserve">Highlighters                    </w:t>
            </w:r>
          </w:p>
        </w:tc>
        <w:tc>
          <w:tcPr>
            <w:tcW w:w="2430" w:type="dxa"/>
            <w:tcBorders>
              <w:top w:val="single" w:sz="4" w:space="0" w:color="auto"/>
              <w:left w:val="single" w:sz="4" w:space="0" w:color="auto"/>
              <w:bottom w:val="single" w:sz="4" w:space="0" w:color="auto"/>
              <w:right w:val="single" w:sz="4" w:space="0" w:color="auto"/>
            </w:tcBorders>
          </w:tcPr>
          <w:p w14:paraId="5DA4ED21" w14:textId="77777777" w:rsidR="00694535" w:rsidRPr="00CB50A9" w:rsidRDefault="00694535" w:rsidP="0069453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50A9">
              <w:rPr>
                <w:rFonts w:ascii="Calibri" w:hAnsi="Calibri" w:cs="Calibri"/>
              </w:rPr>
              <w:t xml:space="preserve">Visor                    </w:t>
            </w:r>
          </w:p>
        </w:tc>
        <w:tc>
          <w:tcPr>
            <w:tcW w:w="2178" w:type="dxa"/>
            <w:tcBorders>
              <w:top w:val="single" w:sz="4" w:space="0" w:color="auto"/>
              <w:left w:val="single" w:sz="4" w:space="0" w:color="auto"/>
              <w:bottom w:val="single" w:sz="4" w:space="0" w:color="auto"/>
              <w:right w:val="single" w:sz="4" w:space="0" w:color="auto"/>
            </w:tcBorders>
          </w:tcPr>
          <w:p w14:paraId="1B2A05A6" w14:textId="77777777" w:rsidR="00694535" w:rsidRPr="00CB50A9" w:rsidRDefault="00694535" w:rsidP="0069453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50A9">
              <w:rPr>
                <w:rFonts w:ascii="Calibri" w:hAnsi="Calibri" w:cs="Calibri"/>
              </w:rPr>
              <w:t>Earplugs</w:t>
            </w:r>
          </w:p>
        </w:tc>
      </w:tr>
      <w:tr w:rsidR="00694535" w:rsidRPr="00CB50A9" w14:paraId="447B649A" w14:textId="77777777" w:rsidTr="00694535">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4" w:space="0" w:color="auto"/>
              <w:bottom w:val="single" w:sz="4" w:space="0" w:color="auto"/>
              <w:right w:val="single" w:sz="4" w:space="0" w:color="auto"/>
            </w:tcBorders>
          </w:tcPr>
          <w:p w14:paraId="224EE771" w14:textId="77777777" w:rsidR="00694535" w:rsidRPr="00CB50A9" w:rsidRDefault="00694535" w:rsidP="00694535">
            <w:pPr>
              <w:rPr>
                <w:rFonts w:ascii="Calibri" w:hAnsi="Calibri" w:cs="Calibri"/>
                <w:b w:val="0"/>
              </w:rPr>
            </w:pPr>
            <w:r w:rsidRPr="00CB50A9">
              <w:rPr>
                <w:rFonts w:ascii="Calibri" w:hAnsi="Calibri" w:cs="Calibri"/>
                <w:b w:val="0"/>
              </w:rPr>
              <w:t xml:space="preserve">Clear and colored overlays                         </w:t>
            </w:r>
          </w:p>
        </w:tc>
        <w:tc>
          <w:tcPr>
            <w:tcW w:w="2790" w:type="dxa"/>
            <w:tcBorders>
              <w:top w:val="single" w:sz="4" w:space="0" w:color="auto"/>
              <w:left w:val="single" w:sz="4" w:space="0" w:color="auto"/>
              <w:bottom w:val="single" w:sz="4" w:space="0" w:color="auto"/>
              <w:right w:val="single" w:sz="4" w:space="0" w:color="auto"/>
            </w:tcBorders>
          </w:tcPr>
          <w:p w14:paraId="48118C8D" w14:textId="77777777" w:rsidR="00694535" w:rsidRPr="00CB50A9" w:rsidRDefault="00694535" w:rsidP="0069453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50A9">
              <w:rPr>
                <w:rFonts w:ascii="Calibri" w:hAnsi="Calibri" w:cs="Calibri"/>
              </w:rPr>
              <w:t xml:space="preserve">Adhesive notes / flags       </w:t>
            </w:r>
          </w:p>
        </w:tc>
        <w:tc>
          <w:tcPr>
            <w:tcW w:w="2430" w:type="dxa"/>
            <w:tcBorders>
              <w:top w:val="single" w:sz="4" w:space="0" w:color="auto"/>
              <w:left w:val="single" w:sz="4" w:space="0" w:color="auto"/>
              <w:bottom w:val="single" w:sz="4" w:space="0" w:color="auto"/>
              <w:right w:val="single" w:sz="4" w:space="0" w:color="auto"/>
            </w:tcBorders>
          </w:tcPr>
          <w:p w14:paraId="6449E765" w14:textId="77777777" w:rsidR="00694535" w:rsidRPr="00CB50A9" w:rsidRDefault="00694535" w:rsidP="0069453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50A9">
              <w:rPr>
                <w:rFonts w:ascii="Calibri" w:hAnsi="Calibri" w:cs="Calibri"/>
              </w:rPr>
              <w:t xml:space="preserve">Straight-edge                                                   </w:t>
            </w:r>
          </w:p>
        </w:tc>
        <w:tc>
          <w:tcPr>
            <w:tcW w:w="2178" w:type="dxa"/>
            <w:tcBorders>
              <w:top w:val="single" w:sz="4" w:space="0" w:color="auto"/>
              <w:left w:val="single" w:sz="4" w:space="0" w:color="auto"/>
              <w:bottom w:val="single" w:sz="4" w:space="0" w:color="auto"/>
              <w:right w:val="single" w:sz="4" w:space="0" w:color="auto"/>
            </w:tcBorders>
          </w:tcPr>
          <w:p w14:paraId="023EF64C" w14:textId="77777777" w:rsidR="00694535" w:rsidRPr="00CB50A9" w:rsidRDefault="00694535" w:rsidP="0069453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50A9">
              <w:rPr>
                <w:rFonts w:ascii="Calibri" w:hAnsi="Calibri" w:cs="Calibri"/>
              </w:rPr>
              <w:t>Extra time / breaks</w:t>
            </w:r>
          </w:p>
        </w:tc>
      </w:tr>
    </w:tbl>
    <w:p w14:paraId="59CA08F6" w14:textId="77777777" w:rsidR="00694535" w:rsidRDefault="00694535" w:rsidP="00F366DF">
      <w:pPr>
        <w:spacing w:after="0"/>
        <w:rPr>
          <w:rFonts w:ascii="Calibri" w:hAnsi="Calibri" w:cs="Calibri"/>
        </w:rPr>
      </w:pPr>
    </w:p>
    <w:p w14:paraId="4C79A3E8" w14:textId="77777777" w:rsidR="00F366DF" w:rsidRPr="00CB50A9" w:rsidRDefault="00F366DF" w:rsidP="00F366DF">
      <w:pPr>
        <w:spacing w:after="0"/>
        <w:rPr>
          <w:rFonts w:ascii="Calibri" w:hAnsi="Calibri" w:cs="Calibri"/>
        </w:rPr>
      </w:pPr>
    </w:p>
    <w:p w14:paraId="027BDA02" w14:textId="77777777" w:rsidR="008023BD" w:rsidRPr="00CB50A9" w:rsidRDefault="008023BD" w:rsidP="00C86484">
      <w:pPr>
        <w:pStyle w:val="Heading2"/>
        <w:spacing w:before="0" w:line="240" w:lineRule="auto"/>
        <w:rPr>
          <w:rFonts w:ascii="Calibri" w:hAnsi="Calibri" w:cs="Calibri"/>
        </w:rPr>
      </w:pPr>
      <w:r w:rsidRPr="00CB50A9">
        <w:rPr>
          <w:rFonts w:ascii="Calibri" w:hAnsi="Calibri" w:cs="Calibri"/>
        </w:rPr>
        <w:t>Remote Testing</w:t>
      </w:r>
    </w:p>
    <w:p w14:paraId="6467271C" w14:textId="42512360" w:rsidR="008023BD" w:rsidRPr="00CB50A9" w:rsidRDefault="00F14ABB" w:rsidP="008023BD">
      <w:pPr>
        <w:rPr>
          <w:rFonts w:ascii="Calibri" w:hAnsi="Calibri" w:cs="Calibri"/>
        </w:rPr>
      </w:pPr>
      <w:r w:rsidRPr="00CB50A9">
        <w:rPr>
          <w:rFonts w:ascii="Calibri" w:hAnsi="Calibri" w:cs="Calibri"/>
        </w:rPr>
        <w:t xml:space="preserve">CASAS </w:t>
      </w:r>
      <w:r w:rsidR="00B21F34" w:rsidRPr="00CB50A9">
        <w:rPr>
          <w:rFonts w:ascii="Calibri" w:hAnsi="Calibri" w:cs="Calibri"/>
        </w:rPr>
        <w:t>now has a policy allowing for</w:t>
      </w:r>
      <w:r w:rsidRPr="00CB50A9">
        <w:rPr>
          <w:rFonts w:ascii="Calibri" w:hAnsi="Calibri" w:cs="Calibri"/>
        </w:rPr>
        <w:t xml:space="preserve"> Remote Testing</w:t>
      </w:r>
      <w:r w:rsidR="00B21F34" w:rsidRPr="00CB50A9">
        <w:rPr>
          <w:rFonts w:ascii="Calibri" w:hAnsi="Calibri" w:cs="Calibri"/>
        </w:rPr>
        <w:t xml:space="preserve"> up to 15 students at a time</w:t>
      </w:r>
      <w:r w:rsidRPr="00CB50A9">
        <w:rPr>
          <w:rFonts w:ascii="Calibri" w:hAnsi="Calibri" w:cs="Calibri"/>
        </w:rPr>
        <w:t xml:space="preserve"> following </w:t>
      </w:r>
      <w:hyperlink r:id="rId14" w:history="1">
        <w:r w:rsidRPr="00CB50A9">
          <w:rPr>
            <w:rStyle w:val="Hyperlink"/>
            <w:rFonts w:ascii="Calibri" w:hAnsi="Calibri" w:cs="Calibri"/>
          </w:rPr>
          <w:t>CASAS guidelines</w:t>
        </w:r>
      </w:hyperlink>
      <w:r w:rsidRPr="00CB50A9">
        <w:rPr>
          <w:rFonts w:ascii="Calibri" w:hAnsi="Calibri" w:cs="Calibri"/>
        </w:rPr>
        <w:t xml:space="preserve"> and training requirements. Providers may develop procedures to implement virtual test proctoring.</w:t>
      </w:r>
      <w:r w:rsidR="00B21F34" w:rsidRPr="00CB50A9">
        <w:rPr>
          <w:rFonts w:ascii="Calibri" w:hAnsi="Calibri" w:cs="Calibri"/>
        </w:rPr>
        <w:t xml:space="preserve"> Email </w:t>
      </w:r>
      <w:hyperlink r:id="rId15" w:history="1">
        <w:r w:rsidR="00B21F34" w:rsidRPr="00CB50A9">
          <w:rPr>
            <w:rStyle w:val="Hyperlink"/>
            <w:rFonts w:ascii="Calibri" w:hAnsi="Calibri" w:cs="Calibri"/>
          </w:rPr>
          <w:t>remotetesting@casas.org</w:t>
        </w:r>
      </w:hyperlink>
      <w:r w:rsidR="00B21F34" w:rsidRPr="00CB50A9">
        <w:rPr>
          <w:rFonts w:ascii="Calibri" w:hAnsi="Calibri" w:cs="Calibri"/>
        </w:rPr>
        <w:t xml:space="preserve"> for assistance.</w:t>
      </w:r>
    </w:p>
    <w:p w14:paraId="645459B4" w14:textId="77777777" w:rsidR="002D0401" w:rsidRPr="00CB50A9" w:rsidRDefault="002D0401" w:rsidP="00C86484">
      <w:pPr>
        <w:pStyle w:val="Heading2"/>
        <w:spacing w:before="0" w:line="240" w:lineRule="auto"/>
        <w:rPr>
          <w:rFonts w:ascii="Calibri" w:hAnsi="Calibri" w:cs="Calibri"/>
        </w:rPr>
      </w:pPr>
      <w:r w:rsidRPr="00CB50A9">
        <w:rPr>
          <w:rFonts w:ascii="Calibri" w:hAnsi="Calibri" w:cs="Calibri"/>
        </w:rPr>
        <w:t>Test Carry-over Policy</w:t>
      </w:r>
    </w:p>
    <w:tbl>
      <w:tblPr>
        <w:tblStyle w:val="LightList-Accent1"/>
        <w:tblpPr w:leftFromText="180" w:rightFromText="180" w:vertAnchor="page" w:horzAnchor="margin" w:tblpY="10411"/>
        <w:tblW w:w="5000" w:type="pct"/>
        <w:tblLook w:val="04A0" w:firstRow="1" w:lastRow="0" w:firstColumn="1" w:lastColumn="0" w:noHBand="0" w:noVBand="1"/>
        <w:tblCaption w:val="Approved CASAS Assessments for Washington State"/>
      </w:tblPr>
      <w:tblGrid>
        <w:gridCol w:w="1812"/>
        <w:gridCol w:w="2815"/>
        <w:gridCol w:w="4949"/>
      </w:tblGrid>
      <w:tr w:rsidR="00D970F4" w:rsidRPr="00CB50A9" w14:paraId="5BACE5A2" w14:textId="77777777" w:rsidTr="00D970F4">
        <w:trPr>
          <w:cnfStyle w:val="100000000000" w:firstRow="1" w:lastRow="0" w:firstColumn="0" w:lastColumn="0" w:oddVBand="0" w:evenVBand="0" w:oddHBand="0" w:evenHBand="0" w:firstRowFirstColumn="0" w:firstRowLastColumn="0" w:lastRowFirstColumn="0" w:lastRowLastColumn="0"/>
          <w:trHeight w:val="136"/>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tcPr>
          <w:p w14:paraId="44ED38E8" w14:textId="77777777" w:rsidR="00D970F4" w:rsidRPr="00CB50A9" w:rsidRDefault="00D970F4" w:rsidP="00D970F4">
            <w:pPr>
              <w:keepNext/>
              <w:keepLines/>
              <w:widowControl w:val="0"/>
              <w:spacing w:line="20" w:lineRule="atLeast"/>
              <w:jc w:val="center"/>
              <w:rPr>
                <w:rFonts w:ascii="Calibri" w:hAnsi="Calibri" w:cs="Calibri"/>
                <w:i/>
                <w:sz w:val="24"/>
              </w:rPr>
            </w:pPr>
            <w:r w:rsidRPr="00CB50A9">
              <w:rPr>
                <w:rFonts w:ascii="Calibri" w:hAnsi="Calibri" w:cs="Calibri"/>
                <w:i/>
                <w:sz w:val="24"/>
              </w:rPr>
              <w:t>Approved CASAS Assessments for Washington State</w:t>
            </w:r>
          </w:p>
        </w:tc>
      </w:tr>
      <w:tr w:rsidR="00D970F4" w:rsidRPr="00CB50A9" w14:paraId="18B6A1D5" w14:textId="77777777" w:rsidTr="00D970F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7163" w14:textId="77777777" w:rsidR="00D970F4" w:rsidRPr="00CB50A9" w:rsidRDefault="00D970F4" w:rsidP="00D970F4">
            <w:pPr>
              <w:keepNext/>
              <w:keepLines/>
              <w:widowControl w:val="0"/>
              <w:spacing w:line="20" w:lineRule="atLeast"/>
              <w:ind w:firstLine="224"/>
              <w:jc w:val="center"/>
              <w:rPr>
                <w:rFonts w:ascii="Calibri" w:hAnsi="Calibri" w:cs="Calibri"/>
              </w:rPr>
            </w:pPr>
            <w:r w:rsidRPr="00CB50A9">
              <w:rPr>
                <w:rFonts w:ascii="Calibri" w:hAnsi="Calibri" w:cs="Calibri"/>
              </w:rPr>
              <w:t>Program Area</w:t>
            </w:r>
          </w:p>
        </w:tc>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4AE44" w14:textId="77777777" w:rsidR="00D970F4" w:rsidRPr="00CB50A9" w:rsidRDefault="00D970F4" w:rsidP="00D970F4">
            <w:pPr>
              <w:keepNext/>
              <w:keepLines/>
              <w:widowControl w:val="0"/>
              <w:spacing w:line="20" w:lineRule="atLeast"/>
              <w:ind w:firstLine="224"/>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B50A9">
              <w:rPr>
                <w:rFonts w:ascii="Calibri" w:hAnsi="Calibri" w:cs="Calibri"/>
                <w:b/>
              </w:rPr>
              <w:t>Subject and Series</w:t>
            </w:r>
          </w:p>
        </w:tc>
        <w:tc>
          <w:tcPr>
            <w:tcW w:w="2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E5599" w14:textId="77777777" w:rsidR="00D970F4" w:rsidRPr="00CB50A9" w:rsidRDefault="00D970F4" w:rsidP="00D970F4">
            <w:pPr>
              <w:keepNext/>
              <w:keepLines/>
              <w:widowControl w:val="0"/>
              <w:spacing w:line="20" w:lineRule="atLeast"/>
              <w:ind w:firstLine="224"/>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rPr>
            </w:pPr>
            <w:r w:rsidRPr="00CB50A9">
              <w:rPr>
                <w:rFonts w:ascii="Calibri" w:hAnsi="Calibri" w:cs="Calibri"/>
                <w:b/>
                <w:bCs/>
              </w:rPr>
              <w:t>Forms</w:t>
            </w:r>
          </w:p>
        </w:tc>
      </w:tr>
      <w:tr w:rsidR="00D970F4" w:rsidRPr="00CB50A9" w14:paraId="676D3A65" w14:textId="77777777" w:rsidTr="00D970F4">
        <w:trPr>
          <w:trHeight w:val="136"/>
        </w:trPr>
        <w:tc>
          <w:tcPr>
            <w:cnfStyle w:val="001000000000" w:firstRow="0" w:lastRow="0" w:firstColumn="1" w:lastColumn="0" w:oddVBand="0" w:evenVBand="0" w:oddHBand="0" w:evenHBand="0" w:firstRowFirstColumn="0" w:firstRowLastColumn="0" w:lastRowFirstColumn="0" w:lastRowLastColumn="0"/>
            <w:tcW w:w="946" w:type="pct"/>
            <w:vMerge w:val="restart"/>
            <w:tcBorders>
              <w:left w:val="single" w:sz="4" w:space="0" w:color="auto"/>
              <w:right w:val="single" w:sz="4" w:space="0" w:color="auto"/>
            </w:tcBorders>
            <w:vAlign w:val="center"/>
          </w:tcPr>
          <w:p w14:paraId="316B144A" w14:textId="77777777" w:rsidR="00D970F4" w:rsidRPr="00D970F4" w:rsidRDefault="00D970F4" w:rsidP="00D970F4">
            <w:pPr>
              <w:widowControl w:val="0"/>
              <w:spacing w:line="20" w:lineRule="atLeast"/>
              <w:ind w:firstLine="224"/>
              <w:jc w:val="center"/>
              <w:rPr>
                <w:rFonts w:ascii="Calibri" w:hAnsi="Calibri" w:cs="Calibri"/>
                <w:b w:val="0"/>
                <w:bCs w:val="0"/>
                <w:i/>
              </w:rPr>
            </w:pPr>
            <w:r w:rsidRPr="00D970F4">
              <w:rPr>
                <w:rFonts w:ascii="Calibri" w:hAnsi="Calibri" w:cs="Calibri"/>
                <w:b w:val="0"/>
                <w:bCs w:val="0"/>
                <w:i/>
              </w:rPr>
              <w:t>ELA</w:t>
            </w:r>
          </w:p>
        </w:tc>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61F4A" w14:textId="77777777" w:rsidR="00D970F4" w:rsidRPr="001436EF" w:rsidRDefault="00D970F4" w:rsidP="00D970F4">
            <w:pPr>
              <w:widowControl w:val="0"/>
              <w:spacing w:line="20" w:lineRule="atLeast"/>
              <w:ind w:firstLine="22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6EF">
              <w:rPr>
                <w:rFonts w:ascii="Calibri" w:hAnsi="Calibri" w:cs="Calibri"/>
              </w:rPr>
              <w:t>Reading STEPS</w:t>
            </w:r>
          </w:p>
        </w:tc>
        <w:tc>
          <w:tcPr>
            <w:tcW w:w="2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B53DE" w14:textId="77777777" w:rsidR="00D970F4" w:rsidRPr="001436EF" w:rsidRDefault="00D970F4" w:rsidP="00D970F4">
            <w:pPr>
              <w:widowControl w:val="0"/>
              <w:spacing w:line="20" w:lineRule="atLeas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621, 622, 623, 624, 625, 626, 627, 628, 629, 630</w:t>
            </w:r>
          </w:p>
        </w:tc>
      </w:tr>
      <w:tr w:rsidR="00D970F4" w:rsidRPr="00CB50A9" w14:paraId="58A2D223" w14:textId="77777777" w:rsidTr="00D970F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46" w:type="pct"/>
            <w:vMerge/>
            <w:tcBorders>
              <w:left w:val="single" w:sz="4" w:space="0" w:color="auto"/>
              <w:right w:val="single" w:sz="4" w:space="0" w:color="auto"/>
            </w:tcBorders>
          </w:tcPr>
          <w:p w14:paraId="64663138" w14:textId="77777777" w:rsidR="00D970F4" w:rsidRPr="00CB50A9" w:rsidRDefault="00D970F4" w:rsidP="00D970F4">
            <w:pPr>
              <w:widowControl w:val="0"/>
              <w:spacing w:line="20" w:lineRule="atLeast"/>
              <w:ind w:firstLine="224"/>
              <w:jc w:val="center"/>
              <w:rPr>
                <w:rFonts w:ascii="Calibri" w:hAnsi="Calibri" w:cs="Calibri"/>
                <w:b w:val="0"/>
                <w:i/>
              </w:rPr>
            </w:pPr>
          </w:p>
        </w:tc>
        <w:tc>
          <w:tcPr>
            <w:tcW w:w="1470" w:type="pct"/>
            <w:tcBorders>
              <w:top w:val="single" w:sz="4" w:space="0" w:color="auto"/>
              <w:left w:val="single" w:sz="4" w:space="0" w:color="auto"/>
              <w:right w:val="single" w:sz="4" w:space="0" w:color="auto"/>
            </w:tcBorders>
            <w:vAlign w:val="center"/>
          </w:tcPr>
          <w:p w14:paraId="3F7B2D33" w14:textId="77777777" w:rsidR="00D970F4" w:rsidRPr="001436EF" w:rsidRDefault="00D970F4" w:rsidP="00D970F4">
            <w:pPr>
              <w:widowControl w:val="0"/>
              <w:spacing w:line="20" w:lineRule="atLeast"/>
              <w:ind w:firstLine="224"/>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CB50A9">
              <w:rPr>
                <w:rFonts w:ascii="Calibri" w:hAnsi="Calibri" w:cs="Calibri"/>
              </w:rPr>
              <w:t>Listening</w:t>
            </w:r>
            <w:r>
              <w:rPr>
                <w:rFonts w:ascii="Calibri" w:hAnsi="Calibri" w:cs="Calibri"/>
              </w:rPr>
              <w:t xml:space="preserve"> STEPS</w:t>
            </w:r>
          </w:p>
        </w:tc>
        <w:tc>
          <w:tcPr>
            <w:tcW w:w="2584" w:type="pct"/>
            <w:tcBorders>
              <w:top w:val="single" w:sz="4" w:space="0" w:color="auto"/>
              <w:left w:val="single" w:sz="4" w:space="0" w:color="auto"/>
              <w:right w:val="single" w:sz="4" w:space="0" w:color="auto"/>
            </w:tcBorders>
            <w:vAlign w:val="center"/>
          </w:tcPr>
          <w:p w14:paraId="7381E107" w14:textId="77777777" w:rsidR="00D970F4" w:rsidRPr="00CB50A9" w:rsidRDefault="00D970F4" w:rsidP="00D970F4">
            <w:pPr>
              <w:widowControl w:val="0"/>
              <w:spacing w:line="20" w:lineRule="atLeas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621, 622, 623, 624, 625, 626, 627, 628, 629, 630</w:t>
            </w:r>
          </w:p>
        </w:tc>
      </w:tr>
      <w:tr w:rsidR="00D970F4" w:rsidRPr="00CB50A9" w14:paraId="26F5EF81" w14:textId="77777777" w:rsidTr="00D970F4">
        <w:trPr>
          <w:trHeight w:val="547"/>
        </w:trPr>
        <w:tc>
          <w:tcPr>
            <w:cnfStyle w:val="001000000000" w:firstRow="0" w:lastRow="0" w:firstColumn="1" w:lastColumn="0" w:oddVBand="0" w:evenVBand="0" w:oddHBand="0" w:evenHBand="0" w:firstRowFirstColumn="0" w:firstRowLastColumn="0" w:lastRowFirstColumn="0" w:lastRowLastColumn="0"/>
            <w:tcW w:w="946" w:type="pct"/>
            <w:tcBorders>
              <w:top w:val="single" w:sz="4" w:space="0" w:color="auto"/>
              <w:left w:val="single" w:sz="4" w:space="0" w:color="auto"/>
              <w:right w:val="single" w:sz="4" w:space="0" w:color="auto"/>
            </w:tcBorders>
            <w:shd w:val="clear" w:color="auto" w:fill="D9D9D9" w:themeFill="background1" w:themeFillShade="D9"/>
            <w:vAlign w:val="center"/>
          </w:tcPr>
          <w:p w14:paraId="796467A5" w14:textId="77777777" w:rsidR="00D970F4" w:rsidRDefault="00D970F4" w:rsidP="00D970F4">
            <w:pPr>
              <w:widowControl w:val="0"/>
              <w:spacing w:line="20" w:lineRule="atLeast"/>
              <w:ind w:firstLine="224"/>
              <w:jc w:val="center"/>
              <w:rPr>
                <w:rFonts w:ascii="Calibri" w:hAnsi="Calibri" w:cs="Calibri"/>
                <w:bCs w:val="0"/>
                <w:i/>
              </w:rPr>
            </w:pPr>
            <w:r w:rsidRPr="00CB50A9">
              <w:rPr>
                <w:rFonts w:ascii="Calibri" w:hAnsi="Calibri" w:cs="Calibri"/>
                <w:b w:val="0"/>
                <w:i/>
              </w:rPr>
              <w:t>ABE</w:t>
            </w:r>
            <w:r>
              <w:rPr>
                <w:rFonts w:ascii="Calibri" w:hAnsi="Calibri" w:cs="Calibri"/>
                <w:b w:val="0"/>
                <w:i/>
              </w:rPr>
              <w:t xml:space="preserve"> or</w:t>
            </w:r>
          </w:p>
          <w:p w14:paraId="1BE92A77" w14:textId="77777777" w:rsidR="00D970F4" w:rsidRPr="00CB50A9" w:rsidRDefault="00D970F4" w:rsidP="00D970F4">
            <w:pPr>
              <w:widowControl w:val="0"/>
              <w:spacing w:line="20" w:lineRule="atLeast"/>
              <w:ind w:firstLine="224"/>
              <w:jc w:val="center"/>
              <w:rPr>
                <w:rFonts w:ascii="Calibri" w:hAnsi="Calibri" w:cs="Calibri"/>
                <w:b w:val="0"/>
                <w:i/>
              </w:rPr>
            </w:pPr>
            <w:r>
              <w:rPr>
                <w:rFonts w:ascii="Calibri" w:hAnsi="Calibri" w:cs="Calibri"/>
                <w:b w:val="0"/>
                <w:i/>
              </w:rPr>
              <w:t>Co-enrolled ELA</w:t>
            </w:r>
          </w:p>
        </w:tc>
        <w:tc>
          <w:tcPr>
            <w:tcW w:w="1470" w:type="pct"/>
            <w:tcBorders>
              <w:top w:val="single" w:sz="4" w:space="0" w:color="auto"/>
              <w:left w:val="single" w:sz="4" w:space="0" w:color="auto"/>
              <w:right w:val="single" w:sz="4" w:space="0" w:color="auto"/>
            </w:tcBorders>
            <w:shd w:val="clear" w:color="auto" w:fill="D9D9D9" w:themeFill="background1" w:themeFillShade="D9"/>
            <w:vAlign w:val="center"/>
          </w:tcPr>
          <w:p w14:paraId="5B0EE514" w14:textId="77777777" w:rsidR="00D970F4" w:rsidRPr="00CB50A9" w:rsidRDefault="00D970F4" w:rsidP="00D970F4">
            <w:pPr>
              <w:widowControl w:val="0"/>
              <w:spacing w:line="20" w:lineRule="atLeast"/>
              <w:ind w:firstLine="224"/>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rPr>
              <w:t>Math GOALS 2</w:t>
            </w:r>
          </w:p>
        </w:tc>
        <w:tc>
          <w:tcPr>
            <w:tcW w:w="2584" w:type="pct"/>
            <w:tcBorders>
              <w:top w:val="single" w:sz="4" w:space="0" w:color="auto"/>
              <w:left w:val="single" w:sz="4" w:space="0" w:color="auto"/>
              <w:right w:val="single" w:sz="4" w:space="0" w:color="auto"/>
            </w:tcBorders>
            <w:shd w:val="clear" w:color="auto" w:fill="D9D9D9" w:themeFill="background1" w:themeFillShade="D9"/>
            <w:vAlign w:val="center"/>
          </w:tcPr>
          <w:p w14:paraId="657725E7" w14:textId="77777777" w:rsidR="00D970F4" w:rsidRPr="00CB50A9" w:rsidRDefault="00D970F4" w:rsidP="00D970F4">
            <w:pPr>
              <w:widowControl w:val="0"/>
              <w:spacing w:line="20" w:lineRule="atLeast"/>
              <w:cnfStyle w:val="000000000000" w:firstRow="0" w:lastRow="0" w:firstColumn="0" w:lastColumn="0" w:oddVBand="0" w:evenVBand="0" w:oddHBand="0" w:evenHBand="0" w:firstRowFirstColumn="0" w:firstRowLastColumn="0" w:lastRowFirstColumn="0" w:lastRowLastColumn="0"/>
              <w:rPr>
                <w:rFonts w:ascii="Calibri" w:hAnsi="Calibri" w:cs="Calibri"/>
                <w:i/>
              </w:rPr>
            </w:pPr>
            <w:r>
              <w:rPr>
                <w:rFonts w:ascii="Calibri" w:hAnsi="Calibri" w:cs="Calibri"/>
                <w:iCs/>
              </w:rPr>
              <w:t>921, 922, 923, 924, 925, 926, 927, 928, 929, 930</w:t>
            </w:r>
          </w:p>
        </w:tc>
      </w:tr>
      <w:tr w:rsidR="00D970F4" w:rsidRPr="00CB50A9" w14:paraId="5D891A4A" w14:textId="77777777" w:rsidTr="00D970F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46" w:type="pct"/>
            <w:tcBorders>
              <w:top w:val="single" w:sz="4" w:space="0" w:color="auto"/>
              <w:left w:val="single" w:sz="4" w:space="0" w:color="auto"/>
              <w:right w:val="single" w:sz="4" w:space="0" w:color="auto"/>
            </w:tcBorders>
            <w:vAlign w:val="center"/>
          </w:tcPr>
          <w:p w14:paraId="43F1E082" w14:textId="77777777" w:rsidR="00D970F4" w:rsidRPr="00CB50A9" w:rsidRDefault="00D970F4" w:rsidP="00D970F4">
            <w:pPr>
              <w:widowControl w:val="0"/>
              <w:spacing w:line="20" w:lineRule="atLeast"/>
              <w:ind w:firstLine="224"/>
              <w:jc w:val="center"/>
              <w:rPr>
                <w:rFonts w:ascii="Calibri" w:hAnsi="Calibri" w:cs="Calibri"/>
                <w:i/>
              </w:rPr>
            </w:pPr>
            <w:r w:rsidRPr="00CB50A9">
              <w:rPr>
                <w:rFonts w:ascii="Calibri" w:hAnsi="Calibri" w:cs="Calibri"/>
                <w:b w:val="0"/>
                <w:i/>
              </w:rPr>
              <w:t>ABE</w:t>
            </w:r>
          </w:p>
        </w:tc>
        <w:tc>
          <w:tcPr>
            <w:tcW w:w="1470" w:type="pct"/>
            <w:tcBorders>
              <w:top w:val="single" w:sz="4" w:space="0" w:color="auto"/>
              <w:left w:val="single" w:sz="4" w:space="0" w:color="auto"/>
              <w:right w:val="single" w:sz="4" w:space="0" w:color="auto"/>
            </w:tcBorders>
            <w:vAlign w:val="center"/>
          </w:tcPr>
          <w:p w14:paraId="313EC15B" w14:textId="77777777" w:rsidR="00D970F4" w:rsidRPr="00CB50A9" w:rsidRDefault="00D970F4" w:rsidP="00D970F4">
            <w:pPr>
              <w:widowControl w:val="0"/>
              <w:spacing w:line="20" w:lineRule="atLeast"/>
              <w:ind w:firstLine="22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50A9">
              <w:rPr>
                <w:rFonts w:ascii="Calibri" w:hAnsi="Calibri" w:cs="Calibri"/>
              </w:rPr>
              <w:t>Reading GOALS</w:t>
            </w:r>
          </w:p>
        </w:tc>
        <w:tc>
          <w:tcPr>
            <w:tcW w:w="2584" w:type="pct"/>
            <w:tcBorders>
              <w:top w:val="single" w:sz="4" w:space="0" w:color="auto"/>
              <w:left w:val="single" w:sz="4" w:space="0" w:color="auto"/>
              <w:right w:val="single" w:sz="4" w:space="0" w:color="auto"/>
            </w:tcBorders>
            <w:vAlign w:val="center"/>
          </w:tcPr>
          <w:p w14:paraId="4F8C89A3" w14:textId="77777777" w:rsidR="00D970F4" w:rsidRPr="00CB50A9" w:rsidRDefault="00D970F4" w:rsidP="00D970F4">
            <w:pPr>
              <w:widowControl w:val="0"/>
              <w:spacing w:line="20" w:lineRule="atLeast"/>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B50A9">
              <w:rPr>
                <w:rFonts w:ascii="Calibri" w:hAnsi="Calibri" w:cs="Calibri"/>
                <w:i/>
              </w:rPr>
              <w:t>901, 902, 903, 904, 905, 906, 907, 908</w:t>
            </w:r>
          </w:p>
        </w:tc>
      </w:tr>
    </w:tbl>
    <w:p w14:paraId="13023AE4" w14:textId="5DEF50BB" w:rsidR="002D0401" w:rsidRPr="00CB50A9" w:rsidRDefault="00001572" w:rsidP="002D0401">
      <w:pPr>
        <w:rPr>
          <w:rFonts w:ascii="Calibri" w:hAnsi="Calibri" w:cs="Calibri"/>
        </w:rPr>
      </w:pPr>
      <w:r>
        <w:rPr>
          <w:rFonts w:ascii="Calibri" w:hAnsi="Calibri" w:cs="Calibri"/>
        </w:rPr>
        <w:t>T</w:t>
      </w:r>
      <w:r w:rsidR="002D0401" w:rsidRPr="00CB50A9">
        <w:rPr>
          <w:rFonts w:ascii="Calibri" w:hAnsi="Calibri" w:cs="Calibri"/>
        </w:rPr>
        <w:t>est records</w:t>
      </w:r>
      <w:r>
        <w:rPr>
          <w:rFonts w:ascii="Calibri" w:hAnsi="Calibri" w:cs="Calibri"/>
        </w:rPr>
        <w:t xml:space="preserve"> are valid for </w:t>
      </w:r>
      <w:r w:rsidR="002D0401" w:rsidRPr="00CB50A9">
        <w:rPr>
          <w:rFonts w:ascii="Calibri" w:hAnsi="Calibri" w:cs="Calibri"/>
        </w:rPr>
        <w:t xml:space="preserve">two quarters. </w:t>
      </w:r>
    </w:p>
    <w:p w14:paraId="5799F0E7" w14:textId="77777777" w:rsidR="00073139" w:rsidRPr="00CB50A9" w:rsidRDefault="00073139" w:rsidP="00C86484">
      <w:pPr>
        <w:pStyle w:val="Heading2"/>
        <w:spacing w:before="0" w:line="240" w:lineRule="auto"/>
        <w:rPr>
          <w:rFonts w:ascii="Calibri" w:hAnsi="Calibri" w:cs="Calibri"/>
        </w:rPr>
      </w:pPr>
      <w:r w:rsidRPr="00CB50A9">
        <w:rPr>
          <w:rFonts w:ascii="Calibri" w:hAnsi="Calibri" w:cs="Calibri"/>
        </w:rPr>
        <w:t>Appraisal</w:t>
      </w:r>
      <w:r w:rsidR="00235DD5" w:rsidRPr="00CB50A9">
        <w:rPr>
          <w:rFonts w:ascii="Calibri" w:hAnsi="Calibri" w:cs="Calibri"/>
        </w:rPr>
        <w:t>/Locator</w:t>
      </w:r>
      <w:r w:rsidRPr="00CB50A9">
        <w:rPr>
          <w:rFonts w:ascii="Calibri" w:hAnsi="Calibri" w:cs="Calibri"/>
        </w:rPr>
        <w:t xml:space="preserve"> and Pre-test Administration Procedures</w:t>
      </w:r>
    </w:p>
    <w:p w14:paraId="47BBB0F9" w14:textId="57AF10BF" w:rsidR="000C6D20" w:rsidRPr="00CB50A9" w:rsidRDefault="00B306D5" w:rsidP="00B306D5">
      <w:pPr>
        <w:rPr>
          <w:rFonts w:ascii="Calibri" w:hAnsi="Calibri" w:cs="Calibri"/>
        </w:rPr>
      </w:pPr>
      <w:r w:rsidRPr="00CB50A9">
        <w:rPr>
          <w:rFonts w:ascii="Calibri" w:hAnsi="Calibri" w:cs="Calibri"/>
        </w:rPr>
        <w:t xml:space="preserve">An </w:t>
      </w:r>
      <w:r w:rsidR="00073139" w:rsidRPr="00CB50A9">
        <w:rPr>
          <w:rFonts w:ascii="Calibri" w:hAnsi="Calibri" w:cs="Calibri"/>
        </w:rPr>
        <w:t>appraisal</w:t>
      </w:r>
      <w:r w:rsidRPr="00CB50A9">
        <w:rPr>
          <w:rFonts w:ascii="Calibri" w:hAnsi="Calibri" w:cs="Calibri"/>
        </w:rPr>
        <w:t xml:space="preserve"> or </w:t>
      </w:r>
      <w:r w:rsidR="00235DD5" w:rsidRPr="00CB50A9">
        <w:rPr>
          <w:rFonts w:ascii="Calibri" w:hAnsi="Calibri" w:cs="Calibri"/>
        </w:rPr>
        <w:t>locator</w:t>
      </w:r>
      <w:r w:rsidR="00073139" w:rsidRPr="00CB50A9">
        <w:rPr>
          <w:rFonts w:ascii="Calibri" w:hAnsi="Calibri" w:cs="Calibri"/>
        </w:rPr>
        <w:t xml:space="preserve"> and </w:t>
      </w:r>
      <w:r w:rsidRPr="00CB50A9">
        <w:rPr>
          <w:rFonts w:ascii="Calibri" w:hAnsi="Calibri" w:cs="Calibri"/>
        </w:rPr>
        <w:t>a</w:t>
      </w:r>
      <w:r w:rsidR="00073139" w:rsidRPr="00CB50A9">
        <w:rPr>
          <w:rFonts w:ascii="Calibri" w:hAnsi="Calibri" w:cs="Calibri"/>
        </w:rPr>
        <w:t xml:space="preserve"> pre-test must be given</w:t>
      </w:r>
      <w:r w:rsidR="00CB50A9">
        <w:rPr>
          <w:rFonts w:ascii="Calibri" w:hAnsi="Calibri" w:cs="Calibri"/>
        </w:rPr>
        <w:t xml:space="preserve"> to all students not in the HS Credit Option</w:t>
      </w:r>
      <w:r w:rsidR="00073139" w:rsidRPr="00CB50A9">
        <w:rPr>
          <w:rFonts w:ascii="Calibri" w:hAnsi="Calibri" w:cs="Calibri"/>
        </w:rPr>
        <w:t xml:space="preserve"> </w:t>
      </w:r>
      <w:r w:rsidR="00073139" w:rsidRPr="00CB50A9">
        <w:rPr>
          <w:rFonts w:ascii="Calibri" w:hAnsi="Calibri" w:cs="Calibri"/>
          <w:b/>
        </w:rPr>
        <w:t>prior to the student completing 12 hours of instruction</w:t>
      </w:r>
      <w:r w:rsidR="00073139" w:rsidRPr="00CB50A9">
        <w:rPr>
          <w:rFonts w:ascii="Calibri" w:hAnsi="Calibri" w:cs="Calibri"/>
        </w:rPr>
        <w:t xml:space="preserve">. </w:t>
      </w:r>
      <w:r w:rsidRPr="00CB50A9">
        <w:rPr>
          <w:rFonts w:ascii="Calibri" w:hAnsi="Calibri" w:cs="Calibri"/>
        </w:rPr>
        <w:t xml:space="preserve"> </w:t>
      </w:r>
    </w:p>
    <w:p w14:paraId="06811F3F" w14:textId="769BD999" w:rsidR="00073139" w:rsidRPr="00CB50A9" w:rsidRDefault="000C6D20" w:rsidP="00073139">
      <w:pPr>
        <w:rPr>
          <w:rFonts w:ascii="Calibri" w:hAnsi="Calibri" w:cs="Calibri"/>
        </w:rPr>
      </w:pPr>
      <w:r w:rsidRPr="00CB50A9">
        <w:rPr>
          <w:rFonts w:ascii="Calibri" w:hAnsi="Calibri" w:cs="Calibri"/>
          <w:bCs/>
        </w:rPr>
        <w:lastRenderedPageBreak/>
        <w:t>Pre-test</w:t>
      </w:r>
      <w:r w:rsidR="008023BD" w:rsidRPr="00CB50A9">
        <w:rPr>
          <w:rFonts w:ascii="Calibri" w:hAnsi="Calibri" w:cs="Calibri"/>
          <w:b/>
        </w:rPr>
        <w:t xml:space="preserve"> </w:t>
      </w:r>
      <w:r w:rsidR="008023BD" w:rsidRPr="00CB50A9">
        <w:rPr>
          <w:rFonts w:ascii="Calibri" w:hAnsi="Calibri" w:cs="Calibri"/>
          <w:bCs/>
        </w:rPr>
        <w:t>students</w:t>
      </w:r>
      <w:r w:rsidR="008023BD" w:rsidRPr="00CB50A9">
        <w:rPr>
          <w:rFonts w:ascii="Calibri" w:hAnsi="Calibri" w:cs="Calibri"/>
          <w:b/>
        </w:rPr>
        <w:t xml:space="preserve"> </w:t>
      </w:r>
      <w:r w:rsidR="008023BD" w:rsidRPr="00CB50A9">
        <w:rPr>
          <w:rFonts w:ascii="Calibri" w:hAnsi="Calibri" w:cs="Calibri"/>
        </w:rPr>
        <w:t>in the primary subject in which they will receive instruction using the appropriate CASAS test</w:t>
      </w:r>
      <w:r w:rsidR="00D357FE" w:rsidRPr="00CB50A9">
        <w:rPr>
          <w:rFonts w:ascii="Calibri" w:hAnsi="Calibri" w:cs="Calibri"/>
        </w:rPr>
        <w:t xml:space="preserve"> form</w:t>
      </w:r>
      <w:r w:rsidR="008023BD" w:rsidRPr="00CB50A9">
        <w:rPr>
          <w:rFonts w:ascii="Calibri" w:hAnsi="Calibri" w:cs="Calibri"/>
        </w:rPr>
        <w:t>. Other subject tests are optional.</w:t>
      </w:r>
      <w:r w:rsidRPr="00CB50A9">
        <w:rPr>
          <w:rFonts w:ascii="Calibri" w:hAnsi="Calibri" w:cs="Calibri"/>
          <w:b/>
        </w:rPr>
        <w:t xml:space="preserve"> </w:t>
      </w:r>
      <w:r w:rsidRPr="00CB50A9">
        <w:rPr>
          <w:rFonts w:ascii="Calibri" w:hAnsi="Calibri" w:cs="Calibri"/>
        </w:rPr>
        <w:t>T</w:t>
      </w:r>
      <w:r w:rsidR="00073139" w:rsidRPr="00CB50A9">
        <w:rPr>
          <w:rFonts w:ascii="Calibri" w:hAnsi="Calibri" w:cs="Calibri"/>
        </w:rPr>
        <w:t xml:space="preserve">he </w:t>
      </w:r>
      <w:hyperlink r:id="rId16" w:history="1">
        <w:r w:rsidR="00073139" w:rsidRPr="00CB50A9">
          <w:rPr>
            <w:rStyle w:val="Hyperlink"/>
            <w:rFonts w:ascii="Calibri" w:hAnsi="Calibri" w:cs="Calibri"/>
          </w:rPr>
          <w:t>CASAS ESL Intake Process</w:t>
        </w:r>
      </w:hyperlink>
      <w:r w:rsidR="00073139" w:rsidRPr="00CB50A9">
        <w:rPr>
          <w:rFonts w:ascii="Calibri" w:hAnsi="Calibri" w:cs="Calibri"/>
        </w:rPr>
        <w:t xml:space="preserve"> provides guidelines for assessing basic English proficiency and selecting the appropriate appraisal and pre-tests. </w:t>
      </w:r>
    </w:p>
    <w:p w14:paraId="22985EBF" w14:textId="7D4EFB78" w:rsidR="00073139" w:rsidRPr="00CB50A9" w:rsidRDefault="0065548E" w:rsidP="00073139">
      <w:pPr>
        <w:rPr>
          <w:rFonts w:ascii="Calibri" w:hAnsi="Calibri" w:cs="Calibri"/>
        </w:rPr>
      </w:pPr>
      <w:r w:rsidRPr="00CB50A9">
        <w:rPr>
          <w:rFonts w:ascii="Calibri" w:hAnsi="Calibri" w:cs="Calibri"/>
        </w:rPr>
        <w:t xml:space="preserve">Administer a new pre-test if </w:t>
      </w:r>
      <w:r w:rsidR="00B9658B" w:rsidRPr="00CB50A9">
        <w:rPr>
          <w:rFonts w:ascii="Calibri" w:hAnsi="Calibri" w:cs="Calibri"/>
        </w:rPr>
        <w:t>a</w:t>
      </w:r>
      <w:r w:rsidRPr="00CB50A9">
        <w:rPr>
          <w:rFonts w:ascii="Calibri" w:hAnsi="Calibri" w:cs="Calibri"/>
        </w:rPr>
        <w:t xml:space="preserve"> student </w:t>
      </w:r>
      <w:r w:rsidR="00B9658B" w:rsidRPr="00CB50A9">
        <w:rPr>
          <w:rFonts w:ascii="Calibri" w:hAnsi="Calibri" w:cs="Calibri"/>
        </w:rPr>
        <w:t>earns a score</w:t>
      </w:r>
      <w:r w:rsidR="005B484B" w:rsidRPr="00CB50A9">
        <w:rPr>
          <w:rFonts w:ascii="Calibri" w:hAnsi="Calibri" w:cs="Calibri"/>
        </w:rPr>
        <w:t xml:space="preserve"> that is outside the valid range </w:t>
      </w:r>
      <w:r w:rsidR="00956AE4" w:rsidRPr="00CB50A9">
        <w:rPr>
          <w:rFonts w:ascii="Calibri" w:hAnsi="Calibri" w:cs="Calibri"/>
        </w:rPr>
        <w:t>[</w:t>
      </w:r>
      <w:r w:rsidR="005B484B" w:rsidRPr="00CB50A9">
        <w:rPr>
          <w:rFonts w:ascii="Calibri" w:hAnsi="Calibri" w:cs="Calibri"/>
        </w:rPr>
        <w:t xml:space="preserve">asterisk </w:t>
      </w:r>
      <w:r w:rsidR="00956AE4" w:rsidRPr="00CB50A9">
        <w:rPr>
          <w:rFonts w:ascii="Calibri" w:hAnsi="Calibri" w:cs="Calibri"/>
        </w:rPr>
        <w:t>(</w:t>
      </w:r>
      <w:r w:rsidR="005B484B" w:rsidRPr="00CB50A9">
        <w:rPr>
          <w:rFonts w:ascii="Calibri" w:hAnsi="Calibri" w:cs="Calibri"/>
        </w:rPr>
        <w:t>*</w:t>
      </w:r>
      <w:r w:rsidR="00956AE4" w:rsidRPr="00CB50A9">
        <w:rPr>
          <w:rFonts w:ascii="Calibri" w:hAnsi="Calibri" w:cs="Calibri"/>
        </w:rPr>
        <w:t>)</w:t>
      </w:r>
      <w:r w:rsidR="005B484B" w:rsidRPr="00CB50A9">
        <w:rPr>
          <w:rFonts w:ascii="Calibri" w:hAnsi="Calibri" w:cs="Calibri"/>
        </w:rPr>
        <w:t xml:space="preserve"> = too low</w:t>
      </w:r>
      <w:r w:rsidR="005E45E9">
        <w:rPr>
          <w:rFonts w:ascii="Calibri" w:hAnsi="Calibri" w:cs="Calibri"/>
        </w:rPr>
        <w:t xml:space="preserve"> or</w:t>
      </w:r>
      <w:r w:rsidR="00B9658B" w:rsidRPr="00CB50A9">
        <w:rPr>
          <w:rFonts w:ascii="Calibri" w:hAnsi="Calibri" w:cs="Calibri"/>
        </w:rPr>
        <w:t xml:space="preserve"> </w:t>
      </w:r>
      <w:r w:rsidRPr="00CB50A9">
        <w:rPr>
          <w:rFonts w:ascii="Calibri" w:hAnsi="Calibri" w:cs="Calibri"/>
        </w:rPr>
        <w:t>has</w:t>
      </w:r>
      <w:r w:rsidR="00073139" w:rsidRPr="00CB50A9">
        <w:rPr>
          <w:rFonts w:ascii="Calibri" w:hAnsi="Calibri" w:cs="Calibri"/>
        </w:rPr>
        <w:t xml:space="preserve"> not had</w:t>
      </w:r>
      <w:r w:rsidR="006F6D14" w:rsidRPr="00CB50A9">
        <w:rPr>
          <w:rFonts w:ascii="Calibri" w:hAnsi="Calibri" w:cs="Calibri"/>
        </w:rPr>
        <w:t xml:space="preserve"> a test or</w:t>
      </w:r>
      <w:r w:rsidR="00073139" w:rsidRPr="00CB50A9">
        <w:rPr>
          <w:rFonts w:ascii="Calibri" w:hAnsi="Calibri" w:cs="Calibri"/>
        </w:rPr>
        <w:t xml:space="preserve"> instruction for </w:t>
      </w:r>
      <w:r w:rsidR="00073139" w:rsidRPr="00CB50A9">
        <w:rPr>
          <w:rFonts w:ascii="Calibri" w:hAnsi="Calibri" w:cs="Calibri"/>
          <w:b/>
        </w:rPr>
        <w:t>two quarters</w:t>
      </w:r>
      <w:r w:rsidR="00B9658B" w:rsidRPr="00CB50A9">
        <w:rPr>
          <w:rFonts w:ascii="Calibri" w:hAnsi="Calibri" w:cs="Calibri"/>
        </w:rPr>
        <w:t>,</w:t>
      </w:r>
      <w:r w:rsidR="00073139" w:rsidRPr="00CB50A9">
        <w:rPr>
          <w:rFonts w:ascii="Calibri" w:hAnsi="Calibri" w:cs="Calibri"/>
        </w:rPr>
        <w:t xml:space="preserve"> or if during the student’s absence, a significant learning intervention occurred. </w:t>
      </w:r>
      <w:r w:rsidR="005E45E9">
        <w:rPr>
          <w:rFonts w:ascii="Calibri" w:hAnsi="Calibri" w:cs="Calibri"/>
        </w:rPr>
        <w:t xml:space="preserve">It is </w:t>
      </w:r>
      <w:r w:rsidR="005E45E9" w:rsidRPr="005E45E9">
        <w:rPr>
          <w:rFonts w:ascii="Calibri" w:hAnsi="Calibri" w:cs="Calibri"/>
          <w:b/>
          <w:bCs/>
        </w:rPr>
        <w:t>recommended</w:t>
      </w:r>
      <w:r w:rsidR="005E45E9">
        <w:rPr>
          <w:rFonts w:ascii="Calibri" w:hAnsi="Calibri" w:cs="Calibri"/>
        </w:rPr>
        <w:t xml:space="preserve"> that you retest students scoring in the conservative estimate range [</w:t>
      </w:r>
      <w:r w:rsidR="005E45E9" w:rsidRPr="00CB50A9">
        <w:rPr>
          <w:rFonts w:ascii="Calibri" w:hAnsi="Calibri" w:cs="Calibri"/>
          <w:i/>
          <w:iCs/>
        </w:rPr>
        <w:t xml:space="preserve">diamond </w:t>
      </w:r>
      <w:r w:rsidR="005E45E9" w:rsidRPr="00CB50A9">
        <w:rPr>
          <w:rFonts w:ascii="Calibri" w:hAnsi="Calibri" w:cs="Calibri"/>
        </w:rPr>
        <w:t>(</w:t>
      </w:r>
      <w:r w:rsidR="005E45E9" w:rsidRPr="00CB50A9">
        <w:rPr>
          <w:rFonts w:ascii="Cambria Math" w:hAnsi="Cambria Math" w:cs="Cambria Math"/>
        </w:rPr>
        <w:t>◆</w:t>
      </w:r>
      <w:r w:rsidR="005E45E9" w:rsidRPr="00CB50A9">
        <w:rPr>
          <w:rFonts w:ascii="Calibri" w:hAnsi="Calibri" w:cs="Calibri"/>
        </w:rPr>
        <w:t>) = too high]</w:t>
      </w:r>
      <w:r w:rsidR="005E45E9">
        <w:rPr>
          <w:rFonts w:ascii="Calibri" w:hAnsi="Calibri" w:cs="Calibri"/>
        </w:rPr>
        <w:t>.</w:t>
      </w:r>
    </w:p>
    <w:p w14:paraId="4A779B54" w14:textId="77777777" w:rsidR="00073139" w:rsidRPr="00CB50A9" w:rsidRDefault="00073139" w:rsidP="00073139">
      <w:pPr>
        <w:pStyle w:val="Heading2"/>
        <w:rPr>
          <w:rFonts w:ascii="Calibri" w:hAnsi="Calibri" w:cs="Calibri"/>
        </w:rPr>
      </w:pPr>
      <w:r w:rsidRPr="00CB50A9">
        <w:rPr>
          <w:rFonts w:ascii="Calibri" w:hAnsi="Calibri" w:cs="Calibri"/>
        </w:rPr>
        <w:t>Post-test Administration Procedures</w:t>
      </w:r>
    </w:p>
    <w:p w14:paraId="56A68917" w14:textId="70C3F644" w:rsidR="00534B24" w:rsidRPr="00534B24" w:rsidRDefault="008023BD" w:rsidP="00534B24">
      <w:pPr>
        <w:rPr>
          <w:rFonts w:ascii="Calibri" w:hAnsi="Calibri" w:cs="Calibri"/>
          <w:bCs/>
        </w:rPr>
      </w:pPr>
      <w:r w:rsidRPr="00CB50A9">
        <w:rPr>
          <w:rFonts w:ascii="Calibri" w:hAnsi="Calibri" w:cs="Calibri"/>
          <w:bCs/>
        </w:rPr>
        <w:t xml:space="preserve">BEdA providers </w:t>
      </w:r>
      <w:r w:rsidR="00F67E3C">
        <w:rPr>
          <w:rFonts w:ascii="Calibri" w:hAnsi="Calibri" w:cs="Calibri"/>
          <w:bCs/>
        </w:rPr>
        <w:t>must</w:t>
      </w:r>
      <w:r w:rsidRPr="00CB50A9">
        <w:rPr>
          <w:rFonts w:ascii="Calibri" w:hAnsi="Calibri" w:cs="Calibri"/>
          <w:bCs/>
        </w:rPr>
        <w:t xml:space="preserve"> post-test 50</w:t>
      </w:r>
      <w:r w:rsidR="00CB50A9">
        <w:rPr>
          <w:rFonts w:ascii="Calibri" w:hAnsi="Calibri" w:cs="Calibri"/>
          <w:bCs/>
        </w:rPr>
        <w:t>%</w:t>
      </w:r>
      <w:r w:rsidRPr="00CB50A9">
        <w:rPr>
          <w:rFonts w:ascii="Calibri" w:hAnsi="Calibri" w:cs="Calibri"/>
          <w:bCs/>
        </w:rPr>
        <w:t xml:space="preserve"> </w:t>
      </w:r>
      <w:r w:rsidR="00F67E3C">
        <w:rPr>
          <w:rFonts w:ascii="Calibri" w:hAnsi="Calibri" w:cs="Calibri"/>
          <w:bCs/>
        </w:rPr>
        <w:t xml:space="preserve">or more </w:t>
      </w:r>
      <w:r w:rsidRPr="00CB50A9">
        <w:rPr>
          <w:rFonts w:ascii="Calibri" w:hAnsi="Calibri" w:cs="Calibri"/>
          <w:bCs/>
        </w:rPr>
        <w:t>of their students</w:t>
      </w:r>
      <w:r w:rsidR="007C6297">
        <w:rPr>
          <w:rFonts w:ascii="Calibri" w:hAnsi="Calibri" w:cs="Calibri"/>
          <w:bCs/>
        </w:rPr>
        <w:t xml:space="preserve"> that are required to test</w:t>
      </w:r>
      <w:r w:rsidRPr="00CB50A9">
        <w:rPr>
          <w:rFonts w:ascii="Calibri" w:hAnsi="Calibri" w:cs="Calibri"/>
          <w:bCs/>
        </w:rPr>
        <w:t xml:space="preserve">. </w:t>
      </w:r>
      <w:r w:rsidR="00073139" w:rsidRPr="00CB50A9">
        <w:rPr>
          <w:rFonts w:ascii="Calibri" w:hAnsi="Calibri" w:cs="Calibri"/>
          <w:bCs/>
        </w:rPr>
        <w:t>Post</w:t>
      </w:r>
      <w:r w:rsidR="00073139" w:rsidRPr="00CB50A9">
        <w:rPr>
          <w:rFonts w:ascii="Calibri" w:hAnsi="Calibri" w:cs="Calibri"/>
        </w:rPr>
        <w:t>-test students at the end of a quarter if the</w:t>
      </w:r>
      <w:r w:rsidR="00CB50A9">
        <w:rPr>
          <w:rFonts w:ascii="Calibri" w:hAnsi="Calibri" w:cs="Calibri"/>
        </w:rPr>
        <w:t xml:space="preserve">y are registered for 5+ credits or </w:t>
      </w:r>
      <w:r w:rsidR="00CB50A9" w:rsidRPr="00CB50A9">
        <w:rPr>
          <w:rFonts w:ascii="Calibri" w:hAnsi="Calibri" w:cs="Calibri"/>
        </w:rPr>
        <w:t>attended</w:t>
      </w:r>
      <w:r w:rsidR="00073139" w:rsidRPr="00CB50A9">
        <w:rPr>
          <w:rFonts w:ascii="Calibri" w:hAnsi="Calibri" w:cs="Calibri"/>
        </w:rPr>
        <w:t xml:space="preserve"> 45</w:t>
      </w:r>
      <w:r w:rsidR="00CB50A9" w:rsidRPr="00CB50A9">
        <w:rPr>
          <w:rFonts w:ascii="Calibri" w:hAnsi="Calibri" w:cs="Calibri"/>
        </w:rPr>
        <w:t>+</w:t>
      </w:r>
      <w:r w:rsidR="00073139" w:rsidRPr="00CB50A9">
        <w:rPr>
          <w:rFonts w:ascii="Calibri" w:hAnsi="Calibri" w:cs="Calibri"/>
        </w:rPr>
        <w:t xml:space="preserve"> hours. Students should only be post-tested in the subject area(s) in which they received instruction. CASAS requires students </w:t>
      </w:r>
      <w:r w:rsidR="008D13D0" w:rsidRPr="00CB50A9">
        <w:rPr>
          <w:rFonts w:ascii="Calibri" w:hAnsi="Calibri" w:cs="Calibri"/>
        </w:rPr>
        <w:t>to take</w:t>
      </w:r>
      <w:r w:rsidR="00073139" w:rsidRPr="00CB50A9">
        <w:rPr>
          <w:rFonts w:ascii="Calibri" w:hAnsi="Calibri" w:cs="Calibri"/>
        </w:rPr>
        <w:t xml:space="preserve"> a post-test with an alternate test form at the same level or next higher level using the CASAS Next </w:t>
      </w:r>
      <w:r w:rsidR="000C6D20" w:rsidRPr="00CB50A9">
        <w:rPr>
          <w:rFonts w:ascii="Calibri" w:hAnsi="Calibri" w:cs="Calibri"/>
        </w:rPr>
        <w:t xml:space="preserve">Assigned </w:t>
      </w:r>
      <w:r w:rsidR="00073139" w:rsidRPr="00CB50A9">
        <w:rPr>
          <w:rFonts w:ascii="Calibri" w:hAnsi="Calibri" w:cs="Calibri"/>
        </w:rPr>
        <w:t>Test.</w:t>
      </w:r>
      <w:r w:rsidR="00235DD5" w:rsidRPr="00CB50A9">
        <w:rPr>
          <w:rFonts w:ascii="Calibri" w:hAnsi="Calibri" w:cs="Calibri"/>
        </w:rPr>
        <w:t xml:space="preserve"> </w:t>
      </w:r>
      <w:r w:rsidR="00534B24" w:rsidRPr="00534B24">
        <w:rPr>
          <w:rFonts w:ascii="Calibri" w:hAnsi="Calibri" w:cs="Calibri"/>
        </w:rPr>
        <w:t xml:space="preserve">If a student does not seem ready for testing at the end of a quarter, an adult educator may use professional judgment to delay testing for that student. </w:t>
      </w:r>
      <w:r w:rsidR="00534B24" w:rsidRPr="00534B24">
        <w:rPr>
          <w:rFonts w:ascii="Calibri" w:hAnsi="Calibri" w:cs="Calibri"/>
          <w:bCs/>
        </w:rPr>
        <w:t>This determination must be documented in the student file.</w:t>
      </w:r>
      <w:r w:rsidR="005E45E9">
        <w:rPr>
          <w:rFonts w:ascii="Calibri" w:hAnsi="Calibri" w:cs="Calibri"/>
          <w:bCs/>
        </w:rPr>
        <w:t xml:space="preserve"> </w:t>
      </w:r>
      <w:r w:rsidR="00534B24" w:rsidRPr="00534B24">
        <w:rPr>
          <w:rFonts w:ascii="Calibri" w:hAnsi="Calibri" w:cs="Calibri"/>
          <w:bCs/>
        </w:rPr>
        <w:t xml:space="preserve">No one enrolled in less than </w:t>
      </w:r>
      <w:r w:rsidR="00844871">
        <w:rPr>
          <w:rFonts w:ascii="Calibri" w:hAnsi="Calibri" w:cs="Calibri"/>
          <w:bCs/>
        </w:rPr>
        <w:t>5 credits</w:t>
      </w:r>
      <w:r w:rsidR="00534B24" w:rsidRPr="00534B24">
        <w:rPr>
          <w:rFonts w:ascii="Calibri" w:hAnsi="Calibri" w:cs="Calibri"/>
          <w:bCs/>
        </w:rPr>
        <w:t xml:space="preserve"> or with fewer than 45 instructional hours is to be post-tested without an approved exception.</w:t>
      </w:r>
    </w:p>
    <w:p w14:paraId="07B4032B" w14:textId="77777777" w:rsidR="00C86484" w:rsidRPr="00CB50A9" w:rsidRDefault="00C86484" w:rsidP="00C86484">
      <w:pPr>
        <w:pStyle w:val="Heading2"/>
        <w:rPr>
          <w:rFonts w:ascii="Calibri" w:hAnsi="Calibri" w:cs="Calibri"/>
        </w:rPr>
      </w:pPr>
      <w:r w:rsidRPr="00CB50A9">
        <w:rPr>
          <w:rFonts w:ascii="Calibri" w:hAnsi="Calibri" w:cs="Calibri"/>
        </w:rPr>
        <w:t>Test Security Policy</w:t>
      </w:r>
    </w:p>
    <w:p w14:paraId="1FEA2A6B" w14:textId="3666943D" w:rsidR="00C86484" w:rsidRPr="00CB50A9" w:rsidRDefault="005C39A6" w:rsidP="00235DD5">
      <w:pPr>
        <w:rPr>
          <w:rFonts w:ascii="Calibri" w:hAnsi="Calibri" w:cs="Calibri"/>
        </w:rPr>
      </w:pPr>
      <w:r w:rsidRPr="00CB50A9">
        <w:rPr>
          <w:rFonts w:ascii="Calibri" w:hAnsi="Calibri" w:cs="Calibri"/>
        </w:rPr>
        <w:t xml:space="preserve">CASAS publishes this </w:t>
      </w:r>
      <w:hyperlink r:id="rId17" w:history="1">
        <w:r w:rsidRPr="00CB50A9">
          <w:rPr>
            <w:rStyle w:val="Hyperlink"/>
            <w:rFonts w:ascii="Calibri" w:hAnsi="Calibri" w:cs="Calibri"/>
          </w:rPr>
          <w:t>Test Sec</w:t>
        </w:r>
        <w:r w:rsidRPr="00CB50A9">
          <w:rPr>
            <w:rStyle w:val="Hyperlink"/>
            <w:rFonts w:ascii="Calibri" w:hAnsi="Calibri" w:cs="Calibri"/>
          </w:rPr>
          <w:t>u</w:t>
        </w:r>
        <w:r w:rsidRPr="00CB50A9">
          <w:rPr>
            <w:rStyle w:val="Hyperlink"/>
            <w:rFonts w:ascii="Calibri" w:hAnsi="Calibri" w:cs="Calibri"/>
          </w:rPr>
          <w:t>rity Policy</w:t>
        </w:r>
      </w:hyperlink>
      <w:r w:rsidRPr="00CB50A9">
        <w:rPr>
          <w:rFonts w:ascii="Calibri" w:hAnsi="Calibri" w:cs="Calibri"/>
        </w:rPr>
        <w:t xml:space="preserve"> to maintain the integrity of its assessments and to assist with the implementation of and adherence to test security practices. Administrators and testing personnel are responsible for following these procedures and ensuring that agency staff are </w:t>
      </w:r>
      <w:r w:rsidR="00D970F4">
        <w:rPr>
          <w:rFonts w:ascii="Calibri" w:hAnsi="Calibri" w:cs="Calibri"/>
        </w:rPr>
        <w:t xml:space="preserve">trained and </w:t>
      </w:r>
      <w:r w:rsidRPr="00CB50A9">
        <w:rPr>
          <w:rFonts w:ascii="Calibri" w:hAnsi="Calibri" w:cs="Calibri"/>
        </w:rPr>
        <w:t xml:space="preserve">aware of </w:t>
      </w:r>
      <w:r w:rsidR="00D970F4">
        <w:rPr>
          <w:rFonts w:ascii="Calibri" w:hAnsi="Calibri" w:cs="Calibri"/>
        </w:rPr>
        <w:t>those</w:t>
      </w:r>
      <w:r w:rsidRPr="00CB50A9">
        <w:rPr>
          <w:rFonts w:ascii="Calibri" w:hAnsi="Calibri" w:cs="Calibri"/>
        </w:rPr>
        <w:t xml:space="preserve"> procedures. </w:t>
      </w:r>
    </w:p>
    <w:sectPr w:rsidR="00C86484" w:rsidRPr="00CB50A9" w:rsidSect="00D970F4">
      <w:footerReference w:type="default" r:id="rId18"/>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8FFD" w14:textId="77777777" w:rsidR="004B7B47" w:rsidRDefault="004B7B47" w:rsidP="009327EF">
      <w:pPr>
        <w:spacing w:after="0" w:line="240" w:lineRule="auto"/>
      </w:pPr>
      <w:r>
        <w:separator/>
      </w:r>
    </w:p>
  </w:endnote>
  <w:endnote w:type="continuationSeparator" w:id="0">
    <w:p w14:paraId="25AC902E" w14:textId="77777777" w:rsidR="004B7B47" w:rsidRDefault="004B7B47" w:rsidP="0093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w:altName w:val="Gill Sans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20"/>
      </w:rPr>
      <w:id w:val="160830808"/>
      <w:docPartObj>
        <w:docPartGallery w:val="Page Numbers (Bottom of Page)"/>
        <w:docPartUnique/>
      </w:docPartObj>
    </w:sdtPr>
    <w:sdtEndPr>
      <w:rPr>
        <w:u w:val="single"/>
      </w:rPr>
    </w:sdtEndPr>
    <w:sdtContent>
      <w:sdt>
        <w:sdtPr>
          <w:rPr>
            <w:rFonts w:ascii="Gill Sans MT" w:hAnsi="Gill Sans MT"/>
            <w:sz w:val="20"/>
          </w:rPr>
          <w:id w:val="703995761"/>
          <w:docPartObj>
            <w:docPartGallery w:val="Page Numbers (Top of Page)"/>
            <w:docPartUnique/>
          </w:docPartObj>
        </w:sdtPr>
        <w:sdtEndPr>
          <w:rPr>
            <w:u w:val="single"/>
          </w:rPr>
        </w:sdtEndPr>
        <w:sdtContent>
          <w:p w14:paraId="44DA07BF" w14:textId="77777777" w:rsidR="000339B5" w:rsidRPr="002D1D63" w:rsidRDefault="009935F1" w:rsidP="00CA169D">
            <w:pPr>
              <w:pStyle w:val="Footer"/>
              <w:jc w:val="right"/>
              <w:rPr>
                <w:rFonts w:ascii="Gill Sans MT" w:hAnsi="Gill Sans MT"/>
                <w:sz w:val="20"/>
              </w:rPr>
            </w:pPr>
            <w:r>
              <w:rPr>
                <w:rFonts w:ascii="Gill Sans" w:hAnsi="Gill Sans"/>
                <w:noProof/>
                <w:color w:val="12275A"/>
              </w:rPr>
              <w:drawing>
                <wp:anchor distT="0" distB="0" distL="114300" distR="114300" simplePos="0" relativeHeight="251659264" behindDoc="1" locked="0" layoutInCell="1" allowOverlap="1" wp14:anchorId="67B939C0" wp14:editId="47E95E7B">
                  <wp:simplePos x="0" y="0"/>
                  <wp:positionH relativeFrom="column">
                    <wp:posOffset>-76200</wp:posOffset>
                  </wp:positionH>
                  <wp:positionV relativeFrom="paragraph">
                    <wp:posOffset>97155</wp:posOffset>
                  </wp:positionV>
                  <wp:extent cx="1721485" cy="612140"/>
                  <wp:effectExtent l="0" t="0" r="0" b="0"/>
                  <wp:wrapTight wrapText="bothSides">
                    <wp:wrapPolygon edited="0">
                      <wp:start x="0" y="0"/>
                      <wp:lineTo x="0" y="20838"/>
                      <wp:lineTo x="21273" y="20838"/>
                      <wp:lineTo x="21273" y="0"/>
                      <wp:lineTo x="0" y="0"/>
                    </wp:wrapPolygon>
                  </wp:wrapTight>
                  <wp:docPr id="1" name="Picture 1" descr="SBCTC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bctc-color-logo for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1485" cy="61214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Gill Sans" w:hAnsi="Gill Sans"/>
                <w:color w:val="12275A"/>
              </w:rPr>
              <w:id w:val="106159058"/>
              <w:docPartObj>
                <w:docPartGallery w:val="Page Numbers (Bottom of Page)"/>
                <w:docPartUnique/>
              </w:docPartObj>
            </w:sdtPr>
            <w:sdtEndPr>
              <w:rPr>
                <w:u w:val="single"/>
              </w:rPr>
            </w:sdtEndPr>
            <w:sdtContent>
              <w:sdt>
                <w:sdtPr>
                  <w:rPr>
                    <w:rFonts w:ascii="Gill Sans" w:hAnsi="Gill Sans"/>
                    <w:color w:val="12275A"/>
                  </w:rPr>
                  <w:id w:val="1822315317"/>
                  <w:docPartObj>
                    <w:docPartGallery w:val="Page Numbers (Top of Page)"/>
                    <w:docPartUnique/>
                  </w:docPartObj>
                </w:sdtPr>
                <w:sdtEndPr>
                  <w:rPr>
                    <w:u w:val="single"/>
                  </w:rPr>
                </w:sdtEndPr>
                <w:sdtContent>
                  <w:p w14:paraId="7B680BB7" w14:textId="77777777" w:rsidR="00B76E9F" w:rsidRPr="002504EC" w:rsidRDefault="00B76E9F" w:rsidP="00B76E9F">
                    <w:pPr>
                      <w:pStyle w:val="Footer"/>
                      <w:jc w:val="right"/>
                      <w:rPr>
                        <w:rFonts w:ascii="Gill Sans" w:hAnsi="Gill Sans"/>
                        <w:color w:val="12275A"/>
                      </w:rPr>
                    </w:pPr>
                    <w:r w:rsidRPr="002504EC">
                      <w:rPr>
                        <w:rFonts w:ascii="Gill Sans" w:hAnsi="Gill Sans"/>
                        <w:noProof/>
                        <w:color w:val="12275A"/>
                      </w:rPr>
                      <mc:AlternateContent>
                        <mc:Choice Requires="wps">
                          <w:drawing>
                            <wp:anchor distT="0" distB="0" distL="114300" distR="114300" simplePos="0" relativeHeight="251657216" behindDoc="0" locked="0" layoutInCell="1" allowOverlap="1" wp14:anchorId="5EDA6574" wp14:editId="7B730BFF">
                              <wp:simplePos x="0" y="0"/>
                              <wp:positionH relativeFrom="page">
                                <wp:posOffset>1866900</wp:posOffset>
                              </wp:positionH>
                              <wp:positionV relativeFrom="paragraph">
                                <wp:posOffset>-66675</wp:posOffset>
                              </wp:positionV>
                              <wp:extent cx="4991100" cy="0"/>
                              <wp:effectExtent l="0" t="0" r="0" b="19050"/>
                              <wp:wrapTight wrapText="bothSides">
                                <wp:wrapPolygon edited="0">
                                  <wp:start x="0" y="-1"/>
                                  <wp:lineTo x="0" y="-1"/>
                                  <wp:lineTo x="21518" y="-1"/>
                                  <wp:lineTo x="21518" y="-1"/>
                                  <wp:lineTo x="0" y="-1"/>
                                </wp:wrapPolygon>
                              </wp:wrapTight>
                              <wp:docPr id="11" name="Line 7" descr="Dotted line" title="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line">
                                        <a:avLst/>
                                      </a:prstGeom>
                                      <a:noFill/>
                                      <a:ln w="19050" cap="rnd">
                                        <a:solidFill>
                                          <a:srgbClr val="12275A"/>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D5BF34" id="Line 7" o:spid="_x0000_s1026" alt="Title: dotted line - Description: Dotted line"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pt,-5.25pt" to="54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rmywEAAHsDAAAOAAAAZHJzL2Uyb0RvYy54bWysU02P0zAQvSPxHyzfaZKKBRo1XaGW5bJA&#10;pV1+wNR2EgvHY3ncJv332G7TXcENcbHs+Xjz5s14fT8Nhp2UJ4224dWi5ExZgVLbruE/nx/efeKM&#10;AlgJBq1q+FkRv9+8fbMeXa2W2KORyrMIYqkeXcP7EFxdFCR6NQAt0CkbnS36AUJ8+q6QHsaIPphi&#10;WZYfihG9dB6FIorW3cXJNxm/bZUIP9qWVGCm4ZFbyKfP5yGdxWYNdefB9VpcacA/sBhA21j0BrWD&#10;AOzo9V9QgxYeCduwEDgU2LZaqNxD7KYq/+jmqQenci9RHHI3mej/wYrvp63d+0RdTPbJPaL4Rczi&#10;tgfbqUzg+ezi4KokVTE6qm8p6UFu79lh/IYyxsAxYFZhav2QIGN/bMpin29iqykwEY3vV6uqKuNM&#10;xOwroJ4TnafwVeHA0qXhRtukA9RweqSQiEA9hySzxQdtTJ6lsWyMbFflXYKGuFLeypxLaLRMcSmD&#10;fHfYGs9OEBejWi4/3n3ODUbP67BUZAfUX+LoTDsMl53xeLQyV+wVyC/XewBtLvfI0NhUSeUtvNKe&#10;JUv7SfUB5XnvZ13jhHNj121MK/T6ndV/+TOb3wAAAP//AwBQSwMEFAAGAAgAAAAhAEb34+jgAAAA&#10;DAEAAA8AAABkcnMvZG93bnJldi54bWxMj1FLwzAUhd8F/0O4gm9bsqFSa9OhwuiLDl2H+Jg217Ys&#10;ualN1tV/vwwEfbznHs75TraarGEjDr5zJGExF8CQaqc7aiTsyvUsAeaDIq2MI5Twgx5W+eVFplLt&#10;jvSO4zY0LIaQT5WENoQ+5dzXLVrl565Hir8vN1gV4jk0XA/qGMOt4Ush7rhVHcWGVvX43GK93x6s&#10;hP3GVsnnx7p40U/l9+vurTBjWUh5fTU9PgALOIU/M5zxIzrkkalyB9KeGQnL+5u4JUiYLcQtsLND&#10;JCJK1a/E84z/H5GfAAAA//8DAFBLAQItABQABgAIAAAAIQC2gziS/gAAAOEBAAATAAAAAAAAAAAA&#10;AAAAAAAAAABbQ29udGVudF9UeXBlc10ueG1sUEsBAi0AFAAGAAgAAAAhADj9If/WAAAAlAEAAAsA&#10;AAAAAAAAAAAAAAAALwEAAF9yZWxzLy5yZWxzUEsBAi0AFAAGAAgAAAAhAEJ8iubLAQAAewMAAA4A&#10;AAAAAAAAAAAAAAAALgIAAGRycy9lMm9Eb2MueG1sUEsBAi0AFAAGAAgAAAAhAEb34+jgAAAADAEA&#10;AA8AAAAAAAAAAAAAAAAAJQQAAGRycy9kb3ducmV2LnhtbFBLBQYAAAAABAAEAPMAAAAyBQAAAAA=&#10;" strokecolor="#12275a" strokeweight="1.5pt">
                              <v:stroke dashstyle="1 1" endcap="round"/>
                              <v:shadow opacity="22938f" offset="0"/>
                              <w10:wrap type="tight" anchorx="page"/>
                            </v:line>
                          </w:pict>
                        </mc:Fallback>
                      </mc:AlternateContent>
                    </w:r>
                    <w:r w:rsidRPr="002504EC">
                      <w:rPr>
                        <w:rFonts w:ascii="Gill Sans" w:hAnsi="Gill Sans"/>
                        <w:color w:val="12275A"/>
                      </w:rPr>
                      <w:t>For information about this document contact:</w:t>
                    </w:r>
                  </w:p>
                  <w:p w14:paraId="619669CF" w14:textId="08294FA5" w:rsidR="00B76E9F" w:rsidRPr="002504EC" w:rsidRDefault="009935F1" w:rsidP="00B76E9F">
                    <w:pPr>
                      <w:pStyle w:val="Footer"/>
                      <w:jc w:val="right"/>
                      <w:rPr>
                        <w:rFonts w:ascii="Gill Sans" w:hAnsi="Gill Sans"/>
                        <w:color w:val="12275A"/>
                      </w:rPr>
                    </w:pPr>
                    <w:r>
                      <w:rPr>
                        <w:rFonts w:ascii="Gill Sans" w:hAnsi="Gill Sans"/>
                        <w:color w:val="12275A"/>
                      </w:rPr>
                      <w:t>Updated Ju</w:t>
                    </w:r>
                    <w:r w:rsidR="007C6297">
                      <w:rPr>
                        <w:rFonts w:ascii="Gill Sans" w:hAnsi="Gill Sans"/>
                        <w:color w:val="12275A"/>
                      </w:rPr>
                      <w:t xml:space="preserve">ly </w:t>
                    </w:r>
                    <w:r w:rsidR="00CB50A9">
                      <w:rPr>
                        <w:rFonts w:ascii="Gill Sans" w:hAnsi="Gill Sans"/>
                        <w:color w:val="12275A"/>
                      </w:rPr>
                      <w:t>202</w:t>
                    </w:r>
                    <w:r w:rsidR="00D970F4">
                      <w:rPr>
                        <w:rFonts w:ascii="Gill Sans" w:hAnsi="Gill Sans"/>
                        <w:color w:val="12275A"/>
                      </w:rPr>
                      <w:t>5</w:t>
                    </w:r>
                    <w:r w:rsidR="00B76E9F">
                      <w:rPr>
                        <w:rFonts w:ascii="Gill Sans" w:hAnsi="Gill Sans"/>
                        <w:color w:val="12275A"/>
                      </w:rPr>
                      <w:tab/>
                    </w:r>
                    <w:r w:rsidR="00B76E9F" w:rsidRPr="002504EC">
                      <w:rPr>
                        <w:rFonts w:ascii="Gill Sans" w:hAnsi="Gill Sans"/>
                        <w:color w:val="12275A"/>
                      </w:rPr>
                      <w:t xml:space="preserve">Scott Toscano, </w:t>
                    </w:r>
                    <w:r w:rsidR="00001572">
                      <w:rPr>
                        <w:rFonts w:ascii="Gill Sans" w:hAnsi="Gill Sans"/>
                        <w:color w:val="12275A"/>
                      </w:rPr>
                      <w:t>Relationship &amp; Compliance Analyst</w:t>
                    </w:r>
                  </w:p>
                  <w:p w14:paraId="62660DA1" w14:textId="0EF3C505" w:rsidR="00CA169D" w:rsidRPr="002B13A6" w:rsidRDefault="00B76E9F" w:rsidP="002B13A6">
                    <w:pPr>
                      <w:pStyle w:val="Footer"/>
                      <w:jc w:val="right"/>
                      <w:rPr>
                        <w:rFonts w:ascii="Gill Sans MT" w:hAnsi="Gill Sans MT"/>
                        <w:sz w:val="20"/>
                        <w:u w:val="single"/>
                      </w:rPr>
                    </w:pPr>
                    <w:hyperlink r:id="rId2" w:history="1">
                      <w:r w:rsidRPr="002B13A6">
                        <w:rPr>
                          <w:rFonts w:ascii="Gill Sans" w:hAnsi="Gill Sans"/>
                          <w:color w:val="12275A"/>
                          <w:u w:val="single"/>
                        </w:rPr>
                        <w:t>stoscano@sbctc.edu</w:t>
                      </w:r>
                    </w:hyperlink>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9FB46" w14:textId="77777777" w:rsidR="004B7B47" w:rsidRDefault="004B7B47" w:rsidP="009327EF">
      <w:pPr>
        <w:spacing w:after="0" w:line="240" w:lineRule="auto"/>
      </w:pPr>
      <w:r>
        <w:separator/>
      </w:r>
    </w:p>
  </w:footnote>
  <w:footnote w:type="continuationSeparator" w:id="0">
    <w:p w14:paraId="1EF50050" w14:textId="77777777" w:rsidR="004B7B47" w:rsidRDefault="004B7B47" w:rsidP="00932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548"/>
    <w:multiLevelType w:val="hybridMultilevel"/>
    <w:tmpl w:val="7656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653"/>
    <w:multiLevelType w:val="hybridMultilevel"/>
    <w:tmpl w:val="4BB0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2ED3"/>
    <w:multiLevelType w:val="hybridMultilevel"/>
    <w:tmpl w:val="45986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55A37"/>
    <w:multiLevelType w:val="hybridMultilevel"/>
    <w:tmpl w:val="4E0C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840F4"/>
    <w:multiLevelType w:val="hybridMultilevel"/>
    <w:tmpl w:val="47340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A11A7"/>
    <w:multiLevelType w:val="hybridMultilevel"/>
    <w:tmpl w:val="E71A9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A6E0B"/>
    <w:multiLevelType w:val="hybridMultilevel"/>
    <w:tmpl w:val="FF0E4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CF0"/>
    <w:multiLevelType w:val="hybridMultilevel"/>
    <w:tmpl w:val="F0743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E2E06"/>
    <w:multiLevelType w:val="hybridMultilevel"/>
    <w:tmpl w:val="BFA8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A19B0"/>
    <w:multiLevelType w:val="hybridMultilevel"/>
    <w:tmpl w:val="54D2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B1C22"/>
    <w:multiLevelType w:val="hybridMultilevel"/>
    <w:tmpl w:val="E06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77BC3"/>
    <w:multiLevelType w:val="hybridMultilevel"/>
    <w:tmpl w:val="8D4E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43852"/>
    <w:multiLevelType w:val="hybridMultilevel"/>
    <w:tmpl w:val="AC4C7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107FC"/>
    <w:multiLevelType w:val="hybridMultilevel"/>
    <w:tmpl w:val="F062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77F03"/>
    <w:multiLevelType w:val="hybridMultilevel"/>
    <w:tmpl w:val="7F681B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867CB"/>
    <w:multiLevelType w:val="hybridMultilevel"/>
    <w:tmpl w:val="23782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2227476">
    <w:abstractNumId w:val="10"/>
  </w:num>
  <w:num w:numId="2" w16cid:durableId="1354264483">
    <w:abstractNumId w:val="14"/>
  </w:num>
  <w:num w:numId="3" w16cid:durableId="697200240">
    <w:abstractNumId w:val="15"/>
  </w:num>
  <w:num w:numId="4" w16cid:durableId="583612507">
    <w:abstractNumId w:val="5"/>
  </w:num>
  <w:num w:numId="5" w16cid:durableId="1415936908">
    <w:abstractNumId w:val="6"/>
  </w:num>
  <w:num w:numId="6" w16cid:durableId="984049695">
    <w:abstractNumId w:val="1"/>
  </w:num>
  <w:num w:numId="7" w16cid:durableId="2021009129">
    <w:abstractNumId w:val="0"/>
  </w:num>
  <w:num w:numId="8" w16cid:durableId="799302531">
    <w:abstractNumId w:val="3"/>
  </w:num>
  <w:num w:numId="9" w16cid:durableId="557712527">
    <w:abstractNumId w:val="13"/>
  </w:num>
  <w:num w:numId="10" w16cid:durableId="431048204">
    <w:abstractNumId w:val="7"/>
  </w:num>
  <w:num w:numId="11" w16cid:durableId="1928071133">
    <w:abstractNumId w:val="11"/>
  </w:num>
  <w:num w:numId="12" w16cid:durableId="614215439">
    <w:abstractNumId w:val="2"/>
  </w:num>
  <w:num w:numId="13" w16cid:durableId="785777953">
    <w:abstractNumId w:val="4"/>
  </w:num>
  <w:num w:numId="14" w16cid:durableId="1914897720">
    <w:abstractNumId w:val="12"/>
  </w:num>
  <w:num w:numId="15" w16cid:durableId="1123691471">
    <w:abstractNumId w:val="9"/>
  </w:num>
  <w:num w:numId="16" w16cid:durableId="193159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490"/>
    <w:rsid w:val="00001572"/>
    <w:rsid w:val="000339B5"/>
    <w:rsid w:val="00065073"/>
    <w:rsid w:val="00073139"/>
    <w:rsid w:val="00074D7F"/>
    <w:rsid w:val="00087EFA"/>
    <w:rsid w:val="00097BCC"/>
    <w:rsid w:val="000A0F7D"/>
    <w:rsid w:val="000C6D20"/>
    <w:rsid w:val="000E56DF"/>
    <w:rsid w:val="00113931"/>
    <w:rsid w:val="00115256"/>
    <w:rsid w:val="0011634D"/>
    <w:rsid w:val="00131114"/>
    <w:rsid w:val="001436EF"/>
    <w:rsid w:val="00156638"/>
    <w:rsid w:val="0017561B"/>
    <w:rsid w:val="001916AA"/>
    <w:rsid w:val="001B1F74"/>
    <w:rsid w:val="001E2611"/>
    <w:rsid w:val="001E64F9"/>
    <w:rsid w:val="002001EE"/>
    <w:rsid w:val="002056EA"/>
    <w:rsid w:val="00235DD5"/>
    <w:rsid w:val="002510EF"/>
    <w:rsid w:val="002A3C34"/>
    <w:rsid w:val="002A7EA1"/>
    <w:rsid w:val="002B13A6"/>
    <w:rsid w:val="002C6534"/>
    <w:rsid w:val="002D0401"/>
    <w:rsid w:val="002D0F22"/>
    <w:rsid w:val="002D1D63"/>
    <w:rsid w:val="002E1EF2"/>
    <w:rsid w:val="002F6E35"/>
    <w:rsid w:val="003117D0"/>
    <w:rsid w:val="003151A0"/>
    <w:rsid w:val="00336E07"/>
    <w:rsid w:val="00372F67"/>
    <w:rsid w:val="003775BB"/>
    <w:rsid w:val="00390169"/>
    <w:rsid w:val="003A3ECB"/>
    <w:rsid w:val="003A62FE"/>
    <w:rsid w:val="003B45A5"/>
    <w:rsid w:val="003E7A11"/>
    <w:rsid w:val="003F144E"/>
    <w:rsid w:val="00403B0D"/>
    <w:rsid w:val="0040450D"/>
    <w:rsid w:val="004105EC"/>
    <w:rsid w:val="00432284"/>
    <w:rsid w:val="00432F94"/>
    <w:rsid w:val="004669DA"/>
    <w:rsid w:val="00471895"/>
    <w:rsid w:val="0048018B"/>
    <w:rsid w:val="004B1A91"/>
    <w:rsid w:val="004B2C47"/>
    <w:rsid w:val="004B76C4"/>
    <w:rsid w:val="004B7B47"/>
    <w:rsid w:val="004D4CCF"/>
    <w:rsid w:val="0050796A"/>
    <w:rsid w:val="0052413F"/>
    <w:rsid w:val="00527490"/>
    <w:rsid w:val="00534B24"/>
    <w:rsid w:val="00535DBD"/>
    <w:rsid w:val="00541266"/>
    <w:rsid w:val="005605D2"/>
    <w:rsid w:val="0056555B"/>
    <w:rsid w:val="00574059"/>
    <w:rsid w:val="00580050"/>
    <w:rsid w:val="005B484B"/>
    <w:rsid w:val="005C39A6"/>
    <w:rsid w:val="005D5F08"/>
    <w:rsid w:val="005E29EB"/>
    <w:rsid w:val="005E45E9"/>
    <w:rsid w:val="00645E32"/>
    <w:rsid w:val="00647F6D"/>
    <w:rsid w:val="0065548E"/>
    <w:rsid w:val="006674D1"/>
    <w:rsid w:val="006805DF"/>
    <w:rsid w:val="00687F11"/>
    <w:rsid w:val="00694535"/>
    <w:rsid w:val="006A549B"/>
    <w:rsid w:val="006D573B"/>
    <w:rsid w:val="006F6D14"/>
    <w:rsid w:val="006F7999"/>
    <w:rsid w:val="0071418B"/>
    <w:rsid w:val="00714751"/>
    <w:rsid w:val="00720D9C"/>
    <w:rsid w:val="00724AD3"/>
    <w:rsid w:val="00731E10"/>
    <w:rsid w:val="007452B8"/>
    <w:rsid w:val="00775C9E"/>
    <w:rsid w:val="00782AC2"/>
    <w:rsid w:val="00787663"/>
    <w:rsid w:val="007C589B"/>
    <w:rsid w:val="007C6297"/>
    <w:rsid w:val="008023BD"/>
    <w:rsid w:val="00812F0C"/>
    <w:rsid w:val="0081545A"/>
    <w:rsid w:val="00831DBB"/>
    <w:rsid w:val="00844871"/>
    <w:rsid w:val="0085351F"/>
    <w:rsid w:val="008711F2"/>
    <w:rsid w:val="00881173"/>
    <w:rsid w:val="00881438"/>
    <w:rsid w:val="008963A7"/>
    <w:rsid w:val="008A7481"/>
    <w:rsid w:val="008B010C"/>
    <w:rsid w:val="008D13D0"/>
    <w:rsid w:val="008E6C8D"/>
    <w:rsid w:val="0090699A"/>
    <w:rsid w:val="00930AD8"/>
    <w:rsid w:val="009327EF"/>
    <w:rsid w:val="00941614"/>
    <w:rsid w:val="00941F7F"/>
    <w:rsid w:val="00956AE4"/>
    <w:rsid w:val="00975FF0"/>
    <w:rsid w:val="009935F1"/>
    <w:rsid w:val="009B16EF"/>
    <w:rsid w:val="009B4360"/>
    <w:rsid w:val="009C3D91"/>
    <w:rsid w:val="00A2009D"/>
    <w:rsid w:val="00A4294B"/>
    <w:rsid w:val="00A42C08"/>
    <w:rsid w:val="00A4594B"/>
    <w:rsid w:val="00A5428F"/>
    <w:rsid w:val="00A57033"/>
    <w:rsid w:val="00A72770"/>
    <w:rsid w:val="00A8239D"/>
    <w:rsid w:val="00A84742"/>
    <w:rsid w:val="00AC6C25"/>
    <w:rsid w:val="00AD65F1"/>
    <w:rsid w:val="00B0661C"/>
    <w:rsid w:val="00B1671A"/>
    <w:rsid w:val="00B21F34"/>
    <w:rsid w:val="00B306D5"/>
    <w:rsid w:val="00B400F1"/>
    <w:rsid w:val="00B6141A"/>
    <w:rsid w:val="00B76E9F"/>
    <w:rsid w:val="00B9658B"/>
    <w:rsid w:val="00BA29C4"/>
    <w:rsid w:val="00BD79E2"/>
    <w:rsid w:val="00BE1796"/>
    <w:rsid w:val="00BE5BCB"/>
    <w:rsid w:val="00BE67C6"/>
    <w:rsid w:val="00C05E51"/>
    <w:rsid w:val="00C1376B"/>
    <w:rsid w:val="00C37BD7"/>
    <w:rsid w:val="00C61445"/>
    <w:rsid w:val="00C65867"/>
    <w:rsid w:val="00C722CE"/>
    <w:rsid w:val="00C85091"/>
    <w:rsid w:val="00C86484"/>
    <w:rsid w:val="00C90A60"/>
    <w:rsid w:val="00CA169D"/>
    <w:rsid w:val="00CB50A9"/>
    <w:rsid w:val="00CF09CA"/>
    <w:rsid w:val="00CF48A6"/>
    <w:rsid w:val="00D2394B"/>
    <w:rsid w:val="00D242C5"/>
    <w:rsid w:val="00D357FE"/>
    <w:rsid w:val="00D53134"/>
    <w:rsid w:val="00D604CB"/>
    <w:rsid w:val="00D60F64"/>
    <w:rsid w:val="00D6681E"/>
    <w:rsid w:val="00D91C71"/>
    <w:rsid w:val="00D926B9"/>
    <w:rsid w:val="00D970F4"/>
    <w:rsid w:val="00D974E2"/>
    <w:rsid w:val="00DE3EE6"/>
    <w:rsid w:val="00E14A45"/>
    <w:rsid w:val="00E34034"/>
    <w:rsid w:val="00E54B4D"/>
    <w:rsid w:val="00E550C6"/>
    <w:rsid w:val="00E55533"/>
    <w:rsid w:val="00EA10EE"/>
    <w:rsid w:val="00EA17BC"/>
    <w:rsid w:val="00EA5D84"/>
    <w:rsid w:val="00EC18D6"/>
    <w:rsid w:val="00EC3408"/>
    <w:rsid w:val="00EF1089"/>
    <w:rsid w:val="00EF3786"/>
    <w:rsid w:val="00F02EE0"/>
    <w:rsid w:val="00F14ABB"/>
    <w:rsid w:val="00F16B68"/>
    <w:rsid w:val="00F25C84"/>
    <w:rsid w:val="00F27429"/>
    <w:rsid w:val="00F366DF"/>
    <w:rsid w:val="00F56BF9"/>
    <w:rsid w:val="00F5739A"/>
    <w:rsid w:val="00F61A65"/>
    <w:rsid w:val="00F6654B"/>
    <w:rsid w:val="00F67E3C"/>
    <w:rsid w:val="00FB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2A2BAF"/>
  <w15:docId w15:val="{72DF5A1C-4550-4673-8E24-C2AD3F4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4B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6B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7EF"/>
  </w:style>
  <w:style w:type="paragraph" w:styleId="Footer">
    <w:name w:val="footer"/>
    <w:basedOn w:val="Normal"/>
    <w:link w:val="FooterChar"/>
    <w:uiPriority w:val="99"/>
    <w:unhideWhenUsed/>
    <w:rsid w:val="00932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7EF"/>
  </w:style>
  <w:style w:type="paragraph" w:styleId="NoSpacing">
    <w:name w:val="No Spacing"/>
    <w:uiPriority w:val="1"/>
    <w:qFormat/>
    <w:rsid w:val="002F6E35"/>
    <w:pPr>
      <w:spacing w:after="0" w:line="240" w:lineRule="auto"/>
    </w:pPr>
    <w:rPr>
      <w:rFonts w:ascii="Calibri" w:eastAsia="Times New Roman" w:hAnsi="Calibri" w:cs="Times New Roman"/>
    </w:rPr>
  </w:style>
  <w:style w:type="paragraph" w:styleId="ListParagraph">
    <w:name w:val="List Paragraph"/>
    <w:basedOn w:val="Normal"/>
    <w:uiPriority w:val="34"/>
    <w:qFormat/>
    <w:rsid w:val="00087EFA"/>
    <w:pPr>
      <w:ind w:left="720"/>
      <w:contextualSpacing/>
    </w:pPr>
  </w:style>
  <w:style w:type="character" w:customStyle="1" w:styleId="Heading2Char">
    <w:name w:val="Heading 2 Char"/>
    <w:basedOn w:val="DefaultParagraphFont"/>
    <w:link w:val="Heading2"/>
    <w:uiPriority w:val="9"/>
    <w:rsid w:val="00D242C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24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2C5"/>
    <w:rPr>
      <w:rFonts w:ascii="Tahoma" w:hAnsi="Tahoma" w:cs="Tahoma"/>
      <w:sz w:val="16"/>
      <w:szCs w:val="16"/>
    </w:rPr>
  </w:style>
  <w:style w:type="table" w:styleId="TableGrid">
    <w:name w:val="Table Grid"/>
    <w:basedOn w:val="TableNormal"/>
    <w:uiPriority w:val="59"/>
    <w:rsid w:val="00D24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428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5428F"/>
    <w:rPr>
      <w:color w:val="0000FF" w:themeColor="hyperlink"/>
      <w:u w:val="single"/>
    </w:rPr>
  </w:style>
  <w:style w:type="paragraph" w:styleId="Title">
    <w:name w:val="Title"/>
    <w:basedOn w:val="Normal"/>
    <w:next w:val="Normal"/>
    <w:link w:val="TitleChar"/>
    <w:uiPriority w:val="10"/>
    <w:qFormat/>
    <w:rsid w:val="00A542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28F"/>
    <w:rPr>
      <w:rFonts w:asciiTheme="majorHAnsi" w:eastAsiaTheme="majorEastAsia" w:hAnsiTheme="majorHAnsi" w:cstheme="majorBidi"/>
      <w:color w:val="17365D" w:themeColor="text2" w:themeShade="BF"/>
      <w:spacing w:val="5"/>
      <w:kern w:val="28"/>
      <w:sz w:val="52"/>
      <w:szCs w:val="52"/>
    </w:rPr>
  </w:style>
  <w:style w:type="paragraph" w:customStyle="1" w:styleId="msotitle2">
    <w:name w:val="msotitle2"/>
    <w:rsid w:val="009B4360"/>
    <w:pPr>
      <w:spacing w:after="0" w:line="271" w:lineRule="auto"/>
    </w:pPr>
    <w:rPr>
      <w:rFonts w:ascii="Trebuchet MS" w:eastAsia="Times New Roman" w:hAnsi="Trebuchet MS" w:cs="Times New Roman"/>
      <w:color w:val="000000"/>
      <w:kern w:val="28"/>
      <w:sz w:val="54"/>
      <w:szCs w:val="76"/>
      <w14:ligatures w14:val="standard"/>
      <w14:cntxtAlts/>
    </w:rPr>
  </w:style>
  <w:style w:type="paragraph" w:styleId="Subtitle">
    <w:name w:val="Subtitle"/>
    <w:basedOn w:val="Normal"/>
    <w:next w:val="Normal"/>
    <w:link w:val="SubtitleChar"/>
    <w:uiPriority w:val="11"/>
    <w:qFormat/>
    <w:rsid w:val="009B43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4360"/>
    <w:rPr>
      <w:rFonts w:asciiTheme="majorHAnsi" w:eastAsiaTheme="majorEastAsia" w:hAnsiTheme="majorHAnsi" w:cstheme="majorBidi"/>
      <w:i/>
      <w:iCs/>
      <w:color w:val="4F81BD" w:themeColor="accent1"/>
      <w:spacing w:val="15"/>
      <w:sz w:val="24"/>
      <w:szCs w:val="24"/>
    </w:rPr>
  </w:style>
  <w:style w:type="table" w:styleId="MediumShading2-Accent1">
    <w:name w:val="Medium Shading 2 Accent 1"/>
    <w:basedOn w:val="TableNormal"/>
    <w:uiPriority w:val="64"/>
    <w:rsid w:val="009069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0699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65548E"/>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A57033"/>
    <w:rPr>
      <w:color w:val="800080" w:themeColor="followedHyperlink"/>
      <w:u w:val="single"/>
    </w:rPr>
  </w:style>
  <w:style w:type="character" w:styleId="UnresolvedMention">
    <w:name w:val="Unresolved Mention"/>
    <w:basedOn w:val="DefaultParagraphFont"/>
    <w:uiPriority w:val="99"/>
    <w:semiHidden/>
    <w:unhideWhenUsed/>
    <w:rsid w:val="007C589B"/>
    <w:rPr>
      <w:color w:val="605E5C"/>
      <w:shd w:val="clear" w:color="auto" w:fill="E1DFDD"/>
    </w:rPr>
  </w:style>
  <w:style w:type="character" w:customStyle="1" w:styleId="Heading4Char">
    <w:name w:val="Heading 4 Char"/>
    <w:basedOn w:val="DefaultParagraphFont"/>
    <w:link w:val="Heading4"/>
    <w:uiPriority w:val="9"/>
    <w:semiHidden/>
    <w:rsid w:val="00F16B68"/>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534B24"/>
    <w:rPr>
      <w:rFonts w:asciiTheme="majorHAnsi" w:eastAsiaTheme="majorEastAsia" w:hAnsiTheme="majorHAnsi" w:cstheme="majorBidi"/>
      <w:color w:val="243F60" w:themeColor="accent1" w:themeShade="7F"/>
      <w:sz w:val="24"/>
      <w:szCs w:val="24"/>
    </w:rPr>
  </w:style>
  <w:style w:type="table" w:styleId="MediumShading1-Accent1">
    <w:name w:val="Medium Shading 1 Accent 1"/>
    <w:basedOn w:val="TableNormal"/>
    <w:uiPriority w:val="63"/>
    <w:rsid w:val="005800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132888">
      <w:bodyDiv w:val="1"/>
      <w:marLeft w:val="0"/>
      <w:marRight w:val="0"/>
      <w:marTop w:val="0"/>
      <w:marBottom w:val="0"/>
      <w:divBdr>
        <w:top w:val="none" w:sz="0" w:space="0" w:color="auto"/>
        <w:left w:val="none" w:sz="0" w:space="0" w:color="auto"/>
        <w:bottom w:val="none" w:sz="0" w:space="0" w:color="auto"/>
        <w:right w:val="none" w:sz="0" w:space="0" w:color="auto"/>
      </w:divBdr>
    </w:div>
    <w:div w:id="20089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tc.edu/colleges-staff/programs-services/basic-education-for-adults/beda-handbook/program-requirements.aspx" TargetMode="External"/><Relationship Id="rId13" Type="http://schemas.openxmlformats.org/officeDocument/2006/relationships/hyperlink" Target="mailto:casas@casa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as.org/docs/default-source/special-needs/testing-accommodations-step-by-step.pdf?sfvrsn=de69325a_2?Status=Master" TargetMode="External"/><Relationship Id="rId17" Type="http://schemas.openxmlformats.org/officeDocument/2006/relationships/hyperlink" Target="https://www.casas.org/about-casas/privacy-and-copyright-policy" TargetMode="External"/><Relationship Id="rId2" Type="http://schemas.openxmlformats.org/officeDocument/2006/relationships/numbering" Target="numbering.xml"/><Relationship Id="rId16" Type="http://schemas.openxmlformats.org/officeDocument/2006/relationships/hyperlink" Target="https://www.casas.org/docs/pagecontents/casas-esl-intake-process.pdf?sfvrsn=8?Status=Mas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bers.sbctc.edu/Resource/Download/?file=HSCreditOptionGraduationPlans.xlsx" TargetMode="External"/><Relationship Id="rId5" Type="http://schemas.openxmlformats.org/officeDocument/2006/relationships/webSettings" Target="webSettings.xml"/><Relationship Id="rId15" Type="http://schemas.openxmlformats.org/officeDocument/2006/relationships/hyperlink" Target="mailto:remotetesting@casas.org" TargetMode="External"/><Relationship Id="rId10" Type="http://schemas.openxmlformats.org/officeDocument/2006/relationships/hyperlink" Target="http://www.sbctc.edu/colleges-staff/programs-services/high-school-21-plus/hs21-handbook/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bctc.edu/colleges-staff/programs-services/basic-education-for-adults/beda-handbook/local-reporting.aspx" TargetMode="External"/><Relationship Id="rId14" Type="http://schemas.openxmlformats.org/officeDocument/2006/relationships/hyperlink" Target="https://www.casas.org/product-overviews/remote-test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oscano@sbctc.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4AC3-7096-4243-BF30-1DF24602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Toscano</dc:creator>
  <cp:lastModifiedBy>Scott Toscano</cp:lastModifiedBy>
  <cp:revision>35</cp:revision>
  <cp:lastPrinted>2016-07-06T23:39:00Z</cp:lastPrinted>
  <dcterms:created xsi:type="dcterms:W3CDTF">2016-12-22T19:57:00Z</dcterms:created>
  <dcterms:modified xsi:type="dcterms:W3CDTF">2025-07-22T16:05:00Z</dcterms:modified>
</cp:coreProperties>
</file>