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62" w:type="dxa"/>
        <w:tblLayout w:type="fixed"/>
        <w:tblLook w:val="0620" w:firstRow="1" w:lastRow="0" w:firstColumn="0" w:lastColumn="0" w:noHBand="1" w:noVBand="1"/>
      </w:tblPr>
      <w:tblGrid>
        <w:gridCol w:w="1785"/>
        <w:gridCol w:w="5550"/>
        <w:gridCol w:w="2235"/>
        <w:gridCol w:w="4892"/>
      </w:tblGrid>
      <w:tr w:rsidR="6E3719F9" w:rsidTr="68229EA2" w14:paraId="510A80FD" w14:textId="77777777">
        <w:trPr>
          <w:trHeight w:val="300"/>
          <w:tblHeader/>
        </w:trPr>
        <w:tc>
          <w:tcPr>
            <w:tcW w:w="1785" w:type="dxa"/>
            <w:tcMar/>
            <w:vAlign w:val="center"/>
          </w:tcPr>
          <w:p w:rsidR="37DC885C" w:rsidP="1CD27BE7" w:rsidRDefault="185C07F4" w14:paraId="624179BE" w14:textId="4E5F14D9">
            <w:pPr>
              <w:jc w:val="center"/>
              <w:rPr>
                <w:b/>
                <w:bCs/>
                <w:sz w:val="20"/>
                <w:szCs w:val="20"/>
              </w:rPr>
            </w:pPr>
            <w:r w:rsidRPr="1CD27BE7">
              <w:rPr>
                <w:b/>
                <w:bCs/>
                <w:sz w:val="20"/>
                <w:szCs w:val="20"/>
              </w:rPr>
              <w:t>Term</w:t>
            </w:r>
          </w:p>
        </w:tc>
        <w:tc>
          <w:tcPr>
            <w:tcW w:w="5550" w:type="dxa"/>
            <w:tcMar/>
            <w:vAlign w:val="center"/>
          </w:tcPr>
          <w:p w:rsidR="576E7F0C" w:rsidP="1CD27BE7" w:rsidRDefault="553D0D08" w14:paraId="5605C063" w14:textId="7667529C">
            <w:pPr>
              <w:jc w:val="center"/>
              <w:rPr>
                <w:b/>
                <w:bCs/>
                <w:sz w:val="20"/>
                <w:szCs w:val="20"/>
              </w:rPr>
            </w:pPr>
            <w:r w:rsidRPr="73C9BED2">
              <w:rPr>
                <w:b/>
                <w:bCs/>
                <w:sz w:val="20"/>
                <w:szCs w:val="20"/>
              </w:rPr>
              <w:t>Definitio</w:t>
            </w:r>
            <w:r w:rsidRPr="73C9BED2" w:rsidR="515E756D">
              <w:rPr>
                <w:b/>
                <w:bCs/>
                <w:sz w:val="20"/>
                <w:szCs w:val="20"/>
              </w:rPr>
              <w:t>n</w:t>
            </w:r>
          </w:p>
        </w:tc>
        <w:tc>
          <w:tcPr>
            <w:tcW w:w="2235" w:type="dxa"/>
            <w:tcMar/>
            <w:vAlign w:val="center"/>
          </w:tcPr>
          <w:p w:rsidR="2ECA353A" w:rsidP="1CD27BE7" w:rsidRDefault="07CFA3CF" w14:paraId="359DDF3E" w14:textId="064B0CBE">
            <w:pPr>
              <w:jc w:val="center"/>
              <w:rPr>
                <w:b/>
                <w:bCs/>
                <w:sz w:val="20"/>
                <w:szCs w:val="20"/>
              </w:rPr>
            </w:pPr>
            <w:r w:rsidRPr="1CD27BE7">
              <w:rPr>
                <w:b/>
                <w:bCs/>
                <w:sz w:val="20"/>
                <w:szCs w:val="20"/>
              </w:rPr>
              <w:t>Definition Source(s) Used</w:t>
            </w:r>
          </w:p>
        </w:tc>
        <w:tc>
          <w:tcPr>
            <w:tcW w:w="4892" w:type="dxa"/>
            <w:tcMar/>
            <w:vAlign w:val="center"/>
          </w:tcPr>
          <w:p w:rsidR="576E7F0C" w:rsidP="1CD27BE7" w:rsidRDefault="5242BEBD" w14:paraId="05720487" w14:textId="7A9BE330">
            <w:pPr>
              <w:jc w:val="center"/>
              <w:rPr>
                <w:b/>
                <w:bCs/>
                <w:sz w:val="20"/>
                <w:szCs w:val="20"/>
              </w:rPr>
            </w:pPr>
            <w:r w:rsidRPr="73C9BED2">
              <w:rPr>
                <w:b/>
                <w:bCs/>
                <w:sz w:val="20"/>
                <w:szCs w:val="20"/>
              </w:rPr>
              <w:t xml:space="preserve">Notes &amp; </w:t>
            </w:r>
            <w:r w:rsidRPr="73C9BED2" w:rsidR="553D0D08">
              <w:rPr>
                <w:b/>
                <w:bCs/>
                <w:sz w:val="20"/>
                <w:szCs w:val="20"/>
              </w:rPr>
              <w:t>Operational Definition</w:t>
            </w:r>
            <w:r w:rsidRPr="73C9BED2" w:rsidR="1906F884">
              <w:rPr>
                <w:b/>
                <w:bCs/>
                <w:sz w:val="20"/>
                <w:szCs w:val="20"/>
              </w:rPr>
              <w:t xml:space="preserve"> </w:t>
            </w:r>
            <w:r w:rsidR="576E7F0C">
              <w:br/>
            </w:r>
            <w:r w:rsidRPr="73C9BED2" w:rsidR="1906F884">
              <w:rPr>
                <w:b/>
                <w:bCs/>
                <w:sz w:val="20"/>
                <w:szCs w:val="20"/>
              </w:rPr>
              <w:t>(how it is measured, specified, and/or delineated)</w:t>
            </w:r>
          </w:p>
        </w:tc>
      </w:tr>
      <w:tr w:rsidR="1CD27BE7" w:rsidTr="68229EA2" w14:paraId="56BACDBC" w14:textId="77777777">
        <w:trPr>
          <w:trHeight w:val="300"/>
        </w:trPr>
        <w:tc>
          <w:tcPr>
            <w:tcW w:w="1785" w:type="dxa"/>
            <w:tcMar/>
          </w:tcPr>
          <w:p w:rsidR="21357849" w:rsidP="73C9BED2" w:rsidRDefault="4FCE2762" w14:paraId="7A4A3E1E" w14:textId="1B1D20C5">
            <w:pPr>
              <w:rPr>
                <w:sz w:val="20"/>
                <w:szCs w:val="20"/>
              </w:rPr>
            </w:pPr>
            <w:r w:rsidRPr="73C9BED2">
              <w:rPr>
                <w:sz w:val="20"/>
                <w:szCs w:val="20"/>
              </w:rPr>
              <w:t>Academic credit for prior learning</w:t>
            </w:r>
          </w:p>
        </w:tc>
        <w:tc>
          <w:tcPr>
            <w:tcW w:w="5550" w:type="dxa"/>
            <w:tcMar/>
          </w:tcPr>
          <w:p w:rsidR="4D84D89D" w:rsidP="73C9BED2" w:rsidRDefault="1F33DE32" w14:paraId="56BD36DF" w14:textId="5C800518">
            <w:pPr>
              <w:rPr>
                <w:sz w:val="20"/>
                <w:szCs w:val="20"/>
              </w:rPr>
            </w:pPr>
            <w:r w:rsidRPr="54FCF601">
              <w:rPr>
                <w:sz w:val="20"/>
                <w:szCs w:val="20"/>
              </w:rPr>
              <w:t xml:space="preserve">Academic </w:t>
            </w:r>
            <w:r w:rsidRPr="54FCF601" w:rsidR="07AD573B">
              <w:rPr>
                <w:sz w:val="20"/>
                <w:szCs w:val="20"/>
              </w:rPr>
              <w:t>c</w:t>
            </w:r>
            <w:r w:rsidRPr="54FCF601">
              <w:rPr>
                <w:sz w:val="20"/>
                <w:szCs w:val="20"/>
              </w:rPr>
              <w:t xml:space="preserve">redit for </w:t>
            </w:r>
            <w:r w:rsidRPr="54FCF601" w:rsidR="216C5CA5">
              <w:rPr>
                <w:sz w:val="20"/>
                <w:szCs w:val="20"/>
              </w:rPr>
              <w:t>p</w:t>
            </w:r>
            <w:r w:rsidRPr="54FCF601">
              <w:rPr>
                <w:sz w:val="20"/>
                <w:szCs w:val="20"/>
              </w:rPr>
              <w:t xml:space="preserve">rior </w:t>
            </w:r>
            <w:r w:rsidRPr="54FCF601" w:rsidR="241EFF13">
              <w:rPr>
                <w:sz w:val="20"/>
                <w:szCs w:val="20"/>
              </w:rPr>
              <w:t>l</w:t>
            </w:r>
            <w:r w:rsidRPr="54FCF601">
              <w:rPr>
                <w:sz w:val="20"/>
                <w:szCs w:val="20"/>
              </w:rPr>
              <w:t>earning (ACPL) is credit for things learned before entering a college or training program</w:t>
            </w:r>
            <w:r w:rsidRPr="54FCF601" w:rsidR="52A5BD5E">
              <w:rPr>
                <w:sz w:val="20"/>
                <w:szCs w:val="20"/>
              </w:rPr>
              <w:t xml:space="preserve">. </w:t>
            </w:r>
            <w:r w:rsidRPr="54FCF601" w:rsidR="00BC323A">
              <w:rPr>
                <w:sz w:val="20"/>
                <w:szCs w:val="20"/>
              </w:rPr>
              <w:t>ACPL is an umbrella term that includes credit granted for nontraditional learning experiences that can be shown through various means of assessment to be equivalent to learning gained through formal collegiate instruction.</w:t>
            </w:r>
          </w:p>
        </w:tc>
        <w:tc>
          <w:tcPr>
            <w:tcW w:w="2235" w:type="dxa"/>
            <w:tcMar/>
          </w:tcPr>
          <w:p w:rsidR="4D84D89D" w:rsidP="73C9BED2" w:rsidRDefault="1F33DE32" w14:paraId="0C9BBF37" w14:textId="50257118">
            <w:pPr>
              <w:rPr>
                <w:sz w:val="20"/>
                <w:szCs w:val="20"/>
              </w:rPr>
            </w:pPr>
            <w:hyperlink w:anchor=":~:text=Academic%20Credit%20for%20Prior%20Learning%20(ACPL)%20is,Validate%20the%20learning%20they%20have%20already%20accomplished" r:id="rId7">
              <w:r w:rsidRPr="73C9BED2">
                <w:rPr>
                  <w:rStyle w:val="Hyperlink"/>
                  <w:color w:val="auto"/>
                  <w:sz w:val="20"/>
                  <w:szCs w:val="20"/>
                </w:rPr>
                <w:t>Washington Student Achievement Council</w:t>
              </w:r>
            </w:hyperlink>
            <w:r w:rsidRPr="73C9BED2">
              <w:rPr>
                <w:sz w:val="20"/>
                <w:szCs w:val="20"/>
              </w:rPr>
              <w:t xml:space="preserve"> </w:t>
            </w:r>
            <w:r w:rsidRPr="73C9BED2" w:rsidR="349713EC">
              <w:rPr>
                <w:sz w:val="20"/>
                <w:szCs w:val="20"/>
              </w:rPr>
              <w:t>(WSAC)</w:t>
            </w:r>
          </w:p>
          <w:p w:rsidR="1CD27BE7" w:rsidP="73C9BED2" w:rsidRDefault="1CD27BE7" w14:paraId="13CF133A" w14:textId="655B8C1A">
            <w:pPr>
              <w:rPr>
                <w:sz w:val="20"/>
                <w:szCs w:val="20"/>
              </w:rPr>
            </w:pPr>
          </w:p>
          <w:p w:rsidR="1EEBBA36" w:rsidP="73C9BED2" w:rsidRDefault="349713EC" w14:paraId="4F65C26D" w14:textId="40DCD51D">
            <w:pPr>
              <w:rPr>
                <w:sz w:val="20"/>
                <w:szCs w:val="20"/>
              </w:rPr>
            </w:pPr>
            <w:hyperlink r:id="rId8">
              <w:r w:rsidRPr="73C9BED2">
                <w:rPr>
                  <w:rStyle w:val="Hyperlink"/>
                  <w:color w:val="auto"/>
                  <w:sz w:val="20"/>
                  <w:szCs w:val="20"/>
                </w:rPr>
                <w:t>Policy on Intercollege Transfer and Articulation Among Washington Public Colleges and Universities</w:t>
              </w:r>
            </w:hyperlink>
            <w:r w:rsidRPr="73C9BED2">
              <w:rPr>
                <w:sz w:val="20"/>
                <w:szCs w:val="20"/>
              </w:rPr>
              <w:t xml:space="preserve"> (WSAC)</w:t>
            </w:r>
          </w:p>
          <w:p w:rsidR="1CD27BE7" w:rsidP="73C9BED2" w:rsidRDefault="1CD27BE7" w14:paraId="09C24199" w14:textId="653C927C">
            <w:pPr>
              <w:rPr>
                <w:sz w:val="20"/>
                <w:szCs w:val="20"/>
              </w:rPr>
            </w:pPr>
          </w:p>
          <w:p w:rsidR="1CD27BE7" w:rsidP="73C9BED2" w:rsidRDefault="1CD27BE7" w14:paraId="48C5C0A5" w14:textId="68970CD6">
            <w:pPr>
              <w:rPr>
                <w:sz w:val="20"/>
                <w:szCs w:val="20"/>
              </w:rPr>
            </w:pPr>
          </w:p>
          <w:p w:rsidR="1CD27BE7" w:rsidP="73C9BED2" w:rsidRDefault="1CD27BE7" w14:paraId="05AC600D" w14:textId="6934D90B">
            <w:pPr>
              <w:rPr>
                <w:sz w:val="20"/>
                <w:szCs w:val="20"/>
              </w:rPr>
            </w:pPr>
          </w:p>
          <w:p w:rsidR="1CD27BE7" w:rsidP="73C9BED2" w:rsidRDefault="1CD27BE7" w14:paraId="2BAA1D44" w14:textId="69400010">
            <w:pPr>
              <w:rPr>
                <w:sz w:val="20"/>
                <w:szCs w:val="20"/>
              </w:rPr>
            </w:pPr>
          </w:p>
        </w:tc>
        <w:tc>
          <w:tcPr>
            <w:tcW w:w="4892" w:type="dxa"/>
            <w:tcMar/>
            <w:vAlign w:val="center"/>
          </w:tcPr>
          <w:p w:rsidR="4D84D89D" w:rsidP="1CD27BE7" w:rsidRDefault="4D84D89D" w14:paraId="77AD6E11" w14:textId="2C99F6F1">
            <w:pPr>
              <w:rPr>
                <w:sz w:val="20"/>
                <w:szCs w:val="20"/>
              </w:rPr>
            </w:pPr>
            <w:r w:rsidRPr="1CD27BE7">
              <w:rPr>
                <w:sz w:val="20"/>
                <w:szCs w:val="20"/>
              </w:rPr>
              <w:t xml:space="preserve">Prior learning includes: </w:t>
            </w:r>
          </w:p>
          <w:p w:rsidR="4D84D89D" w:rsidP="1CD27BE7" w:rsidRDefault="4D84D89D" w14:paraId="05C0A8EF" w14:textId="3D19DF79">
            <w:pPr>
              <w:pStyle w:val="ListParagraph"/>
              <w:numPr>
                <w:ilvl w:val="0"/>
                <w:numId w:val="3"/>
              </w:numPr>
              <w:rPr>
                <w:sz w:val="20"/>
                <w:szCs w:val="20"/>
              </w:rPr>
            </w:pPr>
            <w:r w:rsidRPr="1CD27BE7">
              <w:rPr>
                <w:sz w:val="20"/>
                <w:szCs w:val="20"/>
              </w:rPr>
              <w:t>Work experience</w:t>
            </w:r>
          </w:p>
          <w:p w:rsidR="4D84D89D" w:rsidP="1CD27BE7" w:rsidRDefault="4D84D89D" w14:paraId="6B06502F" w14:textId="605EF3D5">
            <w:pPr>
              <w:pStyle w:val="ListParagraph"/>
              <w:numPr>
                <w:ilvl w:val="0"/>
                <w:numId w:val="3"/>
              </w:numPr>
              <w:rPr>
                <w:sz w:val="20"/>
                <w:szCs w:val="20"/>
              </w:rPr>
            </w:pPr>
            <w:r w:rsidRPr="1CD27BE7">
              <w:rPr>
                <w:sz w:val="20"/>
                <w:szCs w:val="20"/>
              </w:rPr>
              <w:t>Life experience</w:t>
            </w:r>
          </w:p>
          <w:p w:rsidR="4D84D89D" w:rsidP="1CD27BE7" w:rsidRDefault="4D84D89D" w14:paraId="084AB41D" w14:textId="34C346FB">
            <w:pPr>
              <w:pStyle w:val="ListParagraph"/>
              <w:numPr>
                <w:ilvl w:val="0"/>
                <w:numId w:val="3"/>
              </w:numPr>
              <w:rPr>
                <w:sz w:val="20"/>
                <w:szCs w:val="20"/>
              </w:rPr>
            </w:pPr>
            <w:r w:rsidRPr="1CD27BE7">
              <w:rPr>
                <w:sz w:val="20"/>
                <w:szCs w:val="20"/>
              </w:rPr>
              <w:t>Military experience</w:t>
            </w:r>
          </w:p>
          <w:p w:rsidR="4D84D89D" w:rsidP="1CD27BE7" w:rsidRDefault="4D84D89D" w14:paraId="36C1AD6E" w14:textId="14513E2E">
            <w:pPr>
              <w:pStyle w:val="ListParagraph"/>
              <w:numPr>
                <w:ilvl w:val="0"/>
                <w:numId w:val="3"/>
              </w:numPr>
              <w:rPr>
                <w:sz w:val="20"/>
                <w:szCs w:val="20"/>
              </w:rPr>
            </w:pPr>
            <w:r w:rsidRPr="1CD27BE7">
              <w:rPr>
                <w:sz w:val="20"/>
                <w:szCs w:val="20"/>
              </w:rPr>
              <w:t>Formal and informal education</w:t>
            </w:r>
          </w:p>
          <w:p w:rsidR="4D84D89D" w:rsidP="1CD27BE7" w:rsidRDefault="4D84D89D" w14:paraId="009B0D6A" w14:textId="210000F4">
            <w:pPr>
              <w:pStyle w:val="ListParagraph"/>
              <w:numPr>
                <w:ilvl w:val="0"/>
                <w:numId w:val="3"/>
              </w:numPr>
              <w:rPr>
                <w:sz w:val="20"/>
                <w:szCs w:val="20"/>
              </w:rPr>
            </w:pPr>
            <w:r w:rsidRPr="1CD27BE7">
              <w:rPr>
                <w:sz w:val="20"/>
                <w:szCs w:val="20"/>
              </w:rPr>
              <w:t>Training from in-state, out-of-state, or foreign schools</w:t>
            </w:r>
          </w:p>
          <w:p w:rsidR="5EB8D6A7" w:rsidP="5EB8D6A7" w:rsidRDefault="5EB8D6A7" w14:paraId="41E44957" w14:textId="46363977">
            <w:pPr>
              <w:pStyle w:val="ListParagraph"/>
              <w:numPr>
                <w:ilvl w:val="0"/>
                <w:numId w:val="3"/>
              </w:numPr>
              <w:rPr>
                <w:sz w:val="20"/>
                <w:szCs w:val="20"/>
              </w:rPr>
            </w:pPr>
            <w:r w:rsidRPr="5EB8D6A7">
              <w:rPr>
                <w:sz w:val="20"/>
                <w:szCs w:val="20"/>
              </w:rPr>
              <w:t xml:space="preserve">Credentials </w:t>
            </w:r>
            <w:r w:rsidRPr="29F17585" w:rsidR="29F17585">
              <w:rPr>
                <w:sz w:val="20"/>
                <w:szCs w:val="20"/>
              </w:rPr>
              <w:t>earned</w:t>
            </w:r>
            <w:r w:rsidRPr="64DD0681" w:rsidR="64DD0681">
              <w:rPr>
                <w:sz w:val="20"/>
                <w:szCs w:val="20"/>
              </w:rPr>
              <w:t>.</w:t>
            </w:r>
          </w:p>
          <w:p w:rsidR="1CD27BE7" w:rsidP="1CD27BE7" w:rsidRDefault="1CD27BE7" w14:paraId="085C32B3" w14:textId="43504970">
            <w:pPr>
              <w:rPr>
                <w:sz w:val="20"/>
                <w:szCs w:val="20"/>
              </w:rPr>
            </w:pPr>
          </w:p>
          <w:p w:rsidR="4D84D89D" w:rsidP="1CD27BE7" w:rsidRDefault="4D84D89D" w14:paraId="5B27FA18" w14:textId="06DC27E3">
            <w:pPr>
              <w:rPr>
                <w:sz w:val="20"/>
                <w:szCs w:val="20"/>
              </w:rPr>
            </w:pPr>
            <w:r w:rsidRPr="1CD27BE7">
              <w:rPr>
                <w:sz w:val="20"/>
                <w:szCs w:val="20"/>
              </w:rPr>
              <w:t xml:space="preserve">SBCTC’s Policy Manual establishes four categories of academic credit for prior learning specifically for denotation on a student’s transcript: </w:t>
            </w:r>
          </w:p>
          <w:p w:rsidR="51AF26FB" w:rsidP="1CD27BE7" w:rsidRDefault="51AF26FB" w14:paraId="2B9C03FE" w14:textId="2D6B228B">
            <w:pPr>
              <w:pStyle w:val="ListParagraph"/>
              <w:numPr>
                <w:ilvl w:val="0"/>
                <w:numId w:val="7"/>
              </w:numPr>
              <w:rPr>
                <w:sz w:val="20"/>
                <w:szCs w:val="20"/>
              </w:rPr>
            </w:pPr>
            <w:r w:rsidRPr="1CD27BE7">
              <w:rPr>
                <w:sz w:val="20"/>
                <w:szCs w:val="20"/>
              </w:rPr>
              <w:t>Credit by testing</w:t>
            </w:r>
          </w:p>
          <w:p w:rsidR="51AF26FB" w:rsidP="1CD27BE7" w:rsidRDefault="51AF26FB" w14:paraId="3B39B328" w14:textId="1C5DF733">
            <w:pPr>
              <w:pStyle w:val="ListParagraph"/>
              <w:numPr>
                <w:ilvl w:val="0"/>
                <w:numId w:val="7"/>
              </w:numPr>
              <w:rPr>
                <w:sz w:val="20"/>
                <w:szCs w:val="20"/>
              </w:rPr>
            </w:pPr>
            <w:r w:rsidRPr="1CD27BE7">
              <w:rPr>
                <w:sz w:val="20"/>
                <w:szCs w:val="20"/>
              </w:rPr>
              <w:t>Prior experiential learning</w:t>
            </w:r>
          </w:p>
          <w:p w:rsidR="51AF26FB" w:rsidP="1CD27BE7" w:rsidRDefault="51AF26FB" w14:paraId="76F6E8BA" w14:textId="48566454">
            <w:pPr>
              <w:pStyle w:val="ListParagraph"/>
              <w:numPr>
                <w:ilvl w:val="0"/>
                <w:numId w:val="7"/>
              </w:numPr>
              <w:rPr>
                <w:sz w:val="20"/>
                <w:szCs w:val="20"/>
              </w:rPr>
            </w:pPr>
            <w:r w:rsidRPr="1CD27BE7">
              <w:rPr>
                <w:sz w:val="20"/>
                <w:szCs w:val="20"/>
              </w:rPr>
              <w:t>Extra-institutional learning</w:t>
            </w:r>
          </w:p>
          <w:p w:rsidR="51AF26FB" w:rsidP="1CD27BE7" w:rsidRDefault="062A732B" w14:paraId="28F6A23C" w14:textId="206BBE03">
            <w:pPr>
              <w:pStyle w:val="ListParagraph"/>
              <w:numPr>
                <w:ilvl w:val="0"/>
                <w:numId w:val="7"/>
              </w:numPr>
              <w:rPr>
                <w:sz w:val="20"/>
                <w:szCs w:val="20"/>
              </w:rPr>
            </w:pPr>
            <w:r w:rsidRPr="73C9BED2">
              <w:rPr>
                <w:sz w:val="20"/>
                <w:szCs w:val="20"/>
              </w:rPr>
              <w:t>Course challenges</w:t>
            </w:r>
            <w:r w:rsidRPr="73C9BED2" w:rsidR="564A905D">
              <w:rPr>
                <w:sz w:val="20"/>
                <w:szCs w:val="20"/>
              </w:rPr>
              <w:t xml:space="preserve">. </w:t>
            </w:r>
          </w:p>
          <w:p w:rsidR="1CD27BE7" w:rsidP="1CD27BE7" w:rsidRDefault="1CD27BE7" w14:paraId="526CD059" w14:textId="40F15A6E">
            <w:pPr>
              <w:rPr>
                <w:sz w:val="20"/>
                <w:szCs w:val="20"/>
              </w:rPr>
            </w:pPr>
          </w:p>
          <w:p w:rsidR="5DC174D3" w:rsidP="1CD27BE7" w:rsidRDefault="5DC174D3" w14:paraId="48502DB8" w14:textId="08C7163F">
            <w:pPr>
              <w:rPr>
                <w:sz w:val="20"/>
                <w:szCs w:val="20"/>
              </w:rPr>
            </w:pPr>
            <w:hyperlink r:id="rId9">
              <w:r w:rsidRPr="1CD27BE7">
                <w:rPr>
                  <w:rStyle w:val="Hyperlink"/>
                  <w:color w:val="auto"/>
                  <w:sz w:val="20"/>
                  <w:szCs w:val="20"/>
                </w:rPr>
                <w:t>SBCTC Coding Manual</w:t>
              </w:r>
            </w:hyperlink>
            <w:r w:rsidRPr="1CD27BE7">
              <w:rPr>
                <w:sz w:val="20"/>
                <w:szCs w:val="20"/>
              </w:rPr>
              <w:t xml:space="preserve"> </w:t>
            </w:r>
            <w:r w:rsidRPr="1CD27BE7" w:rsidR="5312FA9E">
              <w:rPr>
                <w:sz w:val="20"/>
                <w:szCs w:val="20"/>
              </w:rPr>
              <w:t>(revised April 2025) pp38-40.</w:t>
            </w:r>
          </w:p>
        </w:tc>
      </w:tr>
      <w:tr w:rsidR="1CD27BE7" w:rsidTr="68229EA2" w14:paraId="7AA551DA" w14:textId="77777777">
        <w:trPr>
          <w:trHeight w:val="300"/>
        </w:trPr>
        <w:tc>
          <w:tcPr>
            <w:tcW w:w="1785" w:type="dxa"/>
            <w:tcMar/>
          </w:tcPr>
          <w:p w:rsidR="61CD0E7E" w:rsidP="1CD27BE7" w:rsidRDefault="61CD0E7E" w14:paraId="5079F3F7" w14:textId="30D7D89C">
            <w:pPr>
              <w:rPr>
                <w:sz w:val="20"/>
                <w:szCs w:val="20"/>
              </w:rPr>
            </w:pPr>
            <w:r w:rsidRPr="1CD27BE7">
              <w:rPr>
                <w:sz w:val="20"/>
                <w:szCs w:val="20"/>
              </w:rPr>
              <w:t>Alternative credentials</w:t>
            </w:r>
          </w:p>
        </w:tc>
        <w:tc>
          <w:tcPr>
            <w:tcW w:w="5550" w:type="dxa"/>
            <w:tcMar/>
          </w:tcPr>
          <w:p w:rsidR="58A5E1D7" w:rsidP="1CD27BE7" w:rsidRDefault="58A5E1D7" w14:paraId="4EFA831E" w14:textId="542B320E">
            <w:pPr>
              <w:rPr>
                <w:sz w:val="20"/>
                <w:szCs w:val="20"/>
              </w:rPr>
            </w:pPr>
            <w:r w:rsidRPr="54FCF601">
              <w:rPr>
                <w:sz w:val="20"/>
                <w:szCs w:val="20"/>
              </w:rPr>
              <w:t xml:space="preserve">Alternative credentials are </w:t>
            </w:r>
            <w:r w:rsidRPr="54FCF601" w:rsidR="22444C78">
              <w:rPr>
                <w:sz w:val="20"/>
                <w:szCs w:val="20"/>
              </w:rPr>
              <w:t xml:space="preserve">broadly </w:t>
            </w:r>
            <w:r w:rsidRPr="54FCF601">
              <w:rPr>
                <w:sz w:val="20"/>
                <w:szCs w:val="20"/>
              </w:rPr>
              <w:t>defined as any micro-credential, industry or professional certification, acknowledgment of apprenticeship (registered or non-registered), or badging that indicates one’s competencies and skills within a particular field.</w:t>
            </w:r>
          </w:p>
        </w:tc>
        <w:tc>
          <w:tcPr>
            <w:tcW w:w="2235" w:type="dxa"/>
            <w:tcMar/>
          </w:tcPr>
          <w:p w:rsidR="58A5E1D7" w:rsidP="1CD27BE7" w:rsidRDefault="58A5E1D7" w14:paraId="63808037" w14:textId="6411E3DC">
            <w:pPr>
              <w:rPr>
                <w:sz w:val="20"/>
                <w:szCs w:val="20"/>
              </w:rPr>
            </w:pPr>
            <w:hyperlink w:anchor=":~:text=Alternative%20credentials%20can%20be%20loosely%20defined%20as,support%20workers%20from%20entry%20to%20executive%20levels" r:id="rId10">
              <w:r w:rsidRPr="1CD27BE7">
                <w:rPr>
                  <w:rStyle w:val="Hyperlink"/>
                  <w:color w:val="auto"/>
                  <w:sz w:val="20"/>
                  <w:szCs w:val="20"/>
                </w:rPr>
                <w:t>Society for Human Resource Management</w:t>
              </w:r>
            </w:hyperlink>
          </w:p>
        </w:tc>
        <w:tc>
          <w:tcPr>
            <w:tcW w:w="4892" w:type="dxa"/>
            <w:tcMar/>
          </w:tcPr>
          <w:p w:rsidR="58A5E1D7" w:rsidP="1CD27BE7" w:rsidRDefault="58A5E1D7" w14:paraId="4D2EACC1" w14:textId="3F12AAA1">
            <w:pPr>
              <w:rPr>
                <w:sz w:val="20"/>
                <w:szCs w:val="20"/>
              </w:rPr>
            </w:pPr>
            <w:r w:rsidRPr="1CD27BE7">
              <w:rPr>
                <w:sz w:val="20"/>
                <w:szCs w:val="20"/>
              </w:rPr>
              <w:t>Alternative credentials often feature the following characteristics:</w:t>
            </w:r>
          </w:p>
          <w:p w:rsidR="58A5E1D7" w:rsidP="1CD27BE7" w:rsidRDefault="58A5E1D7" w14:paraId="14ACDF5A" w14:textId="05B784C7">
            <w:pPr>
              <w:pStyle w:val="ListParagraph"/>
              <w:numPr>
                <w:ilvl w:val="0"/>
                <w:numId w:val="9"/>
              </w:numPr>
              <w:shd w:val="clear" w:color="auto" w:fill="FFFFFF" w:themeFill="background1"/>
              <w:rPr>
                <w:sz w:val="20"/>
                <w:szCs w:val="20"/>
              </w:rPr>
            </w:pPr>
            <w:r w:rsidRPr="1CD27BE7">
              <w:rPr>
                <w:sz w:val="20"/>
                <w:szCs w:val="20"/>
              </w:rPr>
              <w:t>These credentials typically take less time to complete;</w:t>
            </w:r>
          </w:p>
          <w:p w:rsidR="58A5E1D7" w:rsidP="1CD27BE7" w:rsidRDefault="58A5E1D7" w14:paraId="1A563BF7" w14:textId="06EB641E">
            <w:pPr>
              <w:pStyle w:val="ListParagraph"/>
              <w:numPr>
                <w:ilvl w:val="0"/>
                <w:numId w:val="9"/>
              </w:numPr>
              <w:shd w:val="clear" w:color="auto" w:fill="FFFFFF" w:themeFill="background1"/>
              <w:rPr>
                <w:sz w:val="20"/>
                <w:szCs w:val="20"/>
              </w:rPr>
            </w:pPr>
            <w:r w:rsidRPr="1CD27BE7">
              <w:rPr>
                <w:sz w:val="20"/>
                <w:szCs w:val="20"/>
              </w:rPr>
              <w:t xml:space="preserve">Focus on specific skills; </w:t>
            </w:r>
          </w:p>
          <w:p w:rsidR="58A5E1D7" w:rsidP="1CD27BE7" w:rsidRDefault="58A5E1D7" w14:paraId="4EFFB459" w14:textId="2BE3BCDB">
            <w:pPr>
              <w:pStyle w:val="ListParagraph"/>
              <w:numPr>
                <w:ilvl w:val="0"/>
                <w:numId w:val="9"/>
              </w:numPr>
              <w:shd w:val="clear" w:color="auto" w:fill="FFFFFF" w:themeFill="background1"/>
              <w:rPr>
                <w:sz w:val="20"/>
                <w:szCs w:val="20"/>
              </w:rPr>
            </w:pPr>
            <w:r w:rsidRPr="1CD27BE7">
              <w:rPr>
                <w:sz w:val="20"/>
                <w:szCs w:val="20"/>
              </w:rPr>
              <w:t>Are stackable;</w:t>
            </w:r>
          </w:p>
          <w:p w:rsidR="58A5E1D7" w:rsidP="1CD27BE7" w:rsidRDefault="58A5E1D7" w14:paraId="4D5632DC" w14:textId="7845718D">
            <w:pPr>
              <w:pStyle w:val="ListParagraph"/>
              <w:numPr>
                <w:ilvl w:val="0"/>
                <w:numId w:val="9"/>
              </w:numPr>
              <w:shd w:val="clear" w:color="auto" w:fill="FFFFFF" w:themeFill="background1"/>
              <w:rPr>
                <w:sz w:val="20"/>
                <w:szCs w:val="20"/>
              </w:rPr>
            </w:pPr>
            <w:r w:rsidRPr="1CD27BE7">
              <w:rPr>
                <w:sz w:val="20"/>
                <w:szCs w:val="20"/>
              </w:rPr>
              <w:t xml:space="preserve">Are verifiable; and </w:t>
            </w:r>
          </w:p>
          <w:p w:rsidR="58A5E1D7" w:rsidP="73C9BED2" w:rsidRDefault="65814174" w14:paraId="763724D1" w14:textId="355A4F1B">
            <w:pPr>
              <w:pStyle w:val="ListParagraph"/>
              <w:numPr>
                <w:ilvl w:val="0"/>
                <w:numId w:val="9"/>
              </w:numPr>
              <w:shd w:val="clear" w:color="auto" w:fill="FFFFFF" w:themeFill="background1"/>
              <w:rPr>
                <w:sz w:val="20"/>
                <w:szCs w:val="20"/>
              </w:rPr>
            </w:pPr>
            <w:bookmarkStart w:name="_Int_hAlFFGkb" w:id="0"/>
            <w:r w:rsidRPr="73C9BED2">
              <w:rPr>
                <w:sz w:val="20"/>
                <w:szCs w:val="20"/>
              </w:rPr>
              <w:t>Are</w:t>
            </w:r>
            <w:bookmarkEnd w:id="0"/>
            <w:r w:rsidRPr="73C9BED2">
              <w:rPr>
                <w:sz w:val="20"/>
                <w:szCs w:val="20"/>
              </w:rPr>
              <w:t xml:space="preserve"> often aligned to industries and can be frequently delivered digitally.</w:t>
            </w:r>
          </w:p>
        </w:tc>
      </w:tr>
      <w:tr w:rsidR="1CD27BE7" w:rsidTr="68229EA2" w14:paraId="52E7985F" w14:textId="77777777">
        <w:trPr>
          <w:trHeight w:val="300"/>
        </w:trPr>
        <w:tc>
          <w:tcPr>
            <w:tcW w:w="1785" w:type="dxa"/>
            <w:tcMar/>
          </w:tcPr>
          <w:p w:rsidR="2FFB2AE5" w:rsidP="1CD27BE7" w:rsidRDefault="2FFB2AE5" w14:paraId="51B54881" w14:textId="21F59966">
            <w:pPr>
              <w:rPr>
                <w:sz w:val="20"/>
                <w:szCs w:val="20"/>
              </w:rPr>
            </w:pPr>
            <w:r w:rsidRPr="1CD27BE7">
              <w:rPr>
                <w:sz w:val="20"/>
                <w:szCs w:val="20"/>
              </w:rPr>
              <w:t>Bridges to credit pathways</w:t>
            </w:r>
          </w:p>
        </w:tc>
        <w:tc>
          <w:tcPr>
            <w:tcW w:w="5550" w:type="dxa"/>
            <w:tcMar/>
          </w:tcPr>
          <w:p w:rsidR="7F4FFF7C" w:rsidP="1CD27BE7" w:rsidRDefault="3F31B61F" w14:paraId="72A92897" w14:textId="623E6D08">
            <w:pPr>
              <w:rPr>
                <w:sz w:val="20"/>
                <w:szCs w:val="20"/>
              </w:rPr>
            </w:pPr>
            <w:r w:rsidRPr="54FCF601">
              <w:rPr>
                <w:sz w:val="20"/>
                <w:szCs w:val="20"/>
              </w:rPr>
              <w:t>Bridges to credit pathways are s</w:t>
            </w:r>
            <w:r w:rsidRPr="54FCF601" w:rsidR="7F4FFF7C">
              <w:rPr>
                <w:sz w:val="20"/>
                <w:szCs w:val="20"/>
              </w:rPr>
              <w:t>pecific, applied strategies and practices that allow students to convert learning from nonc</w:t>
            </w:r>
            <w:r w:rsidRPr="54FCF601" w:rsidR="27FF9E13">
              <w:rPr>
                <w:sz w:val="20"/>
                <w:szCs w:val="20"/>
              </w:rPr>
              <w:t xml:space="preserve">redit into </w:t>
            </w:r>
            <w:r w:rsidRPr="54FCF601" w:rsidR="2F330771">
              <w:rPr>
                <w:sz w:val="20"/>
                <w:szCs w:val="20"/>
              </w:rPr>
              <w:t>credit-bearing programs. Key types of bridges include:</w:t>
            </w:r>
          </w:p>
          <w:p w:rsidR="350AA81F" w:rsidP="1CD27BE7" w:rsidRDefault="350AA81F" w14:paraId="7447D140" w14:textId="2AE829C5">
            <w:pPr>
              <w:pStyle w:val="ListParagraph"/>
              <w:numPr>
                <w:ilvl w:val="0"/>
                <w:numId w:val="6"/>
              </w:numPr>
              <w:rPr>
                <w:sz w:val="20"/>
                <w:szCs w:val="20"/>
              </w:rPr>
            </w:pPr>
            <w:r w:rsidRPr="1CD27BE7">
              <w:rPr>
                <w:sz w:val="20"/>
                <w:szCs w:val="20"/>
              </w:rPr>
              <w:t>Acade</w:t>
            </w:r>
            <w:r w:rsidRPr="1CD27BE7" w:rsidR="51355599">
              <w:rPr>
                <w:sz w:val="20"/>
                <w:szCs w:val="20"/>
              </w:rPr>
              <w:t>mic credit for prior learning</w:t>
            </w:r>
          </w:p>
          <w:p w:rsidR="51355599" w:rsidP="1CD27BE7" w:rsidRDefault="51355599" w14:paraId="6AA37E37" w14:textId="2B941A03">
            <w:pPr>
              <w:pStyle w:val="ListParagraph"/>
              <w:numPr>
                <w:ilvl w:val="0"/>
                <w:numId w:val="6"/>
              </w:numPr>
              <w:rPr>
                <w:sz w:val="20"/>
                <w:szCs w:val="20"/>
              </w:rPr>
            </w:pPr>
            <w:r w:rsidRPr="1CD27BE7">
              <w:rPr>
                <w:sz w:val="20"/>
                <w:szCs w:val="20"/>
              </w:rPr>
              <w:t>Articulation agreements</w:t>
            </w:r>
          </w:p>
          <w:p w:rsidR="51355599" w:rsidP="1CD27BE7" w:rsidRDefault="51355599" w14:paraId="4413D527" w14:textId="618E9971">
            <w:pPr>
              <w:pStyle w:val="ListParagraph"/>
              <w:numPr>
                <w:ilvl w:val="0"/>
                <w:numId w:val="6"/>
              </w:numPr>
              <w:rPr>
                <w:sz w:val="20"/>
                <w:szCs w:val="20"/>
              </w:rPr>
            </w:pPr>
            <w:r w:rsidRPr="1CD27BE7">
              <w:rPr>
                <w:sz w:val="20"/>
                <w:szCs w:val="20"/>
              </w:rPr>
              <w:t>Course equivalencies</w:t>
            </w:r>
          </w:p>
          <w:p w:rsidR="3E13A62C" w:rsidP="1CD27BE7" w:rsidRDefault="5085C269" w14:paraId="006B2D3F" w14:textId="22DB85C2">
            <w:pPr>
              <w:pStyle w:val="ListParagraph"/>
              <w:numPr>
                <w:ilvl w:val="0"/>
                <w:numId w:val="6"/>
              </w:numPr>
              <w:rPr>
                <w:sz w:val="20"/>
                <w:szCs w:val="20"/>
              </w:rPr>
            </w:pPr>
            <w:r w:rsidRPr="5085C269">
              <w:rPr>
                <w:sz w:val="20"/>
                <w:szCs w:val="20"/>
              </w:rPr>
              <w:t>Noncredit competency</w:t>
            </w:r>
            <w:r w:rsidRPr="54FCF601" w:rsidR="3E13A62C">
              <w:rPr>
                <w:sz w:val="20"/>
                <w:szCs w:val="20"/>
              </w:rPr>
              <w:t xml:space="preserve">-based </w:t>
            </w:r>
            <w:r w:rsidRPr="2B344433" w:rsidR="2B344433">
              <w:rPr>
                <w:sz w:val="20"/>
                <w:szCs w:val="20"/>
              </w:rPr>
              <w:t>training</w:t>
            </w:r>
          </w:p>
          <w:p w:rsidR="3E13A62C" w:rsidP="1CD27BE7" w:rsidRDefault="6DB66E72" w14:paraId="57F9E928" w14:textId="7A16106D">
            <w:pPr>
              <w:pStyle w:val="ListParagraph"/>
              <w:numPr>
                <w:ilvl w:val="0"/>
                <w:numId w:val="6"/>
              </w:numPr>
              <w:rPr>
                <w:sz w:val="20"/>
                <w:szCs w:val="20"/>
              </w:rPr>
            </w:pPr>
            <w:r w:rsidRPr="54FCF601">
              <w:rPr>
                <w:sz w:val="20"/>
                <w:szCs w:val="20"/>
              </w:rPr>
              <w:t>Non-credit Certificates (C00) as defined in SBCTC’s PAR guidelines (see notes).</w:t>
            </w:r>
          </w:p>
          <w:p w:rsidR="3E13A62C" w:rsidP="1CD27BE7" w:rsidRDefault="67CEAAAE" w14:paraId="7F029118" w14:textId="5476A50C">
            <w:pPr>
              <w:pStyle w:val="ListParagraph"/>
              <w:numPr>
                <w:ilvl w:val="0"/>
                <w:numId w:val="6"/>
              </w:numPr>
              <w:rPr>
                <w:sz w:val="20"/>
                <w:szCs w:val="20"/>
              </w:rPr>
            </w:pPr>
            <w:r w:rsidRPr="67CEAAAE">
              <w:rPr>
                <w:sz w:val="20"/>
                <w:szCs w:val="20"/>
              </w:rPr>
              <w:t>Non-credit transcripts (if any)</w:t>
            </w:r>
          </w:p>
        </w:tc>
        <w:tc>
          <w:tcPr>
            <w:tcW w:w="2235" w:type="dxa"/>
            <w:tcMar/>
          </w:tcPr>
          <w:p w:rsidR="2BAB7BAA" w:rsidP="1CD27BE7" w:rsidRDefault="2BAB7BAA" w14:paraId="59993FB0" w14:textId="14755B5C">
            <w:pPr>
              <w:rPr>
                <w:sz w:val="20"/>
                <w:szCs w:val="20"/>
              </w:rPr>
            </w:pPr>
            <w:r w:rsidRPr="1CD27BE7">
              <w:rPr>
                <w:sz w:val="20"/>
                <w:szCs w:val="20"/>
              </w:rPr>
              <w:t>Compilation from various sources, including:</w:t>
            </w:r>
          </w:p>
          <w:p w:rsidR="1CD27BE7" w:rsidP="1CD27BE7" w:rsidRDefault="1CD27BE7" w14:paraId="03725A09" w14:textId="396373F9">
            <w:pPr>
              <w:rPr>
                <w:sz w:val="20"/>
                <w:szCs w:val="20"/>
              </w:rPr>
            </w:pPr>
          </w:p>
          <w:p w:rsidR="2BAB7BAA" w:rsidP="1CD27BE7" w:rsidRDefault="2BAB7BAA" w14:paraId="60267B37" w14:textId="298A0839">
            <w:pPr>
              <w:rPr>
                <w:sz w:val="20"/>
                <w:szCs w:val="20"/>
              </w:rPr>
            </w:pPr>
            <w:hyperlink w:anchor=":~:text=For%20many%20institutions%2C%20aligning%20non,are%20key%20to%20achieving%20alignment." r:id="rId11">
              <w:r w:rsidRPr="1CD27BE7">
                <w:rPr>
                  <w:rStyle w:val="Hyperlink"/>
                  <w:color w:val="auto"/>
                  <w:sz w:val="20"/>
                  <w:szCs w:val="20"/>
                </w:rPr>
                <w:t>Building Pathways Between Non-Credit and Credit Programs: Where to Begin?</w:t>
              </w:r>
            </w:hyperlink>
            <w:r w:rsidRPr="1CD27BE7">
              <w:rPr>
                <w:sz w:val="20"/>
                <w:szCs w:val="20"/>
              </w:rPr>
              <w:t xml:space="preserve"> (Education Design Lab)</w:t>
            </w:r>
          </w:p>
          <w:p w:rsidR="1CD27BE7" w:rsidP="1CD27BE7" w:rsidRDefault="1CD27BE7" w14:paraId="02125B7B" w14:textId="6950ADF1">
            <w:pPr>
              <w:rPr>
                <w:sz w:val="20"/>
                <w:szCs w:val="20"/>
              </w:rPr>
            </w:pPr>
          </w:p>
          <w:p w:rsidR="2BAB7BAA" w:rsidP="1CD27BE7" w:rsidRDefault="2BAB7BAA" w14:paraId="510583F7" w14:textId="329DD126">
            <w:pPr>
              <w:rPr>
                <w:sz w:val="20"/>
                <w:szCs w:val="20"/>
              </w:rPr>
            </w:pPr>
            <w:hyperlink r:id="rId12">
              <w:r w:rsidRPr="1CD27BE7">
                <w:rPr>
                  <w:rStyle w:val="Hyperlink"/>
                  <w:color w:val="auto"/>
                  <w:sz w:val="20"/>
                  <w:szCs w:val="20"/>
                </w:rPr>
                <w:t>Developing Bridge Tools to Award Credit</w:t>
              </w:r>
            </w:hyperlink>
            <w:r w:rsidRPr="1CD27BE7">
              <w:rPr>
                <w:sz w:val="20"/>
                <w:szCs w:val="20"/>
              </w:rPr>
              <w:t xml:space="preserve"> (Education Design Lab)</w:t>
            </w:r>
          </w:p>
        </w:tc>
        <w:tc>
          <w:tcPr>
            <w:tcW w:w="4892" w:type="dxa"/>
            <w:tcMar/>
          </w:tcPr>
          <w:p w:rsidR="1CD27BE7" w:rsidP="54FCF601" w:rsidRDefault="1906CCAE" w14:paraId="4D93BE3C" w14:textId="4A1ADD26">
            <w:pPr>
              <w:rPr>
                <w:sz w:val="20"/>
                <w:szCs w:val="20"/>
              </w:rPr>
            </w:pPr>
            <w:r w:rsidRPr="54FCF601">
              <w:rPr>
                <w:sz w:val="20"/>
                <w:szCs w:val="20"/>
              </w:rPr>
              <w:t xml:space="preserve">Per </w:t>
            </w:r>
            <w:r w:rsidRPr="54FCF601" w:rsidR="612F4051">
              <w:rPr>
                <w:sz w:val="20"/>
                <w:szCs w:val="20"/>
              </w:rPr>
              <w:t>SBCTC’s Professional-Technical Program Approach (</w:t>
            </w:r>
            <w:hyperlink r:id="rId13">
              <w:r w:rsidRPr="54FCF601" w:rsidR="612F4051">
                <w:rPr>
                  <w:rStyle w:val="Hyperlink"/>
                  <w:color w:val="auto"/>
                  <w:sz w:val="20"/>
                  <w:szCs w:val="20"/>
                </w:rPr>
                <w:t>PAR) Guidelines</w:t>
              </w:r>
            </w:hyperlink>
            <w:r w:rsidRPr="54FCF601">
              <w:rPr>
                <w:sz w:val="20"/>
                <w:szCs w:val="20"/>
              </w:rPr>
              <w:t xml:space="preserve">: </w:t>
            </w:r>
          </w:p>
          <w:p w:rsidR="1CD27BE7" w:rsidP="54FCF601" w:rsidRDefault="1906CCAE" w14:paraId="7C43919A" w14:textId="522B40E4">
            <w:pPr>
              <w:rPr>
                <w:sz w:val="20"/>
                <w:szCs w:val="20"/>
              </w:rPr>
            </w:pPr>
            <w:r w:rsidRPr="54FCF601">
              <w:rPr>
                <w:sz w:val="20"/>
                <w:szCs w:val="20"/>
              </w:rPr>
              <w:t>Non-Credit Certificates (C00). A C00 is any non-credit bearing certificate that is aligned with a professional-technical pathway. For the purposes of professional-technical Program Approval, this is a short-term certificate providing skills and training and must have a workforce outcome.</w:t>
            </w:r>
          </w:p>
          <w:p w:rsidR="1CD27BE7" w:rsidP="54FCF601" w:rsidRDefault="1CD27BE7" w14:paraId="426ADC7E" w14:textId="3732DE84">
            <w:pPr>
              <w:rPr>
                <w:sz w:val="20"/>
                <w:szCs w:val="20"/>
              </w:rPr>
            </w:pPr>
          </w:p>
          <w:p w:rsidR="1CD27BE7" w:rsidP="54FCF601" w:rsidRDefault="1906CCAE" w14:paraId="1488C452" w14:textId="5AA4DC49">
            <w:pPr>
              <w:rPr>
                <w:sz w:val="20"/>
                <w:szCs w:val="20"/>
              </w:rPr>
            </w:pPr>
            <w:r w:rsidRPr="54FCF601">
              <w:rPr>
                <w:sz w:val="20"/>
                <w:szCs w:val="20"/>
              </w:rPr>
              <w:t xml:space="preserve">C00 coding is also used in continuing education to document non-credit experiences, which is distinctly different than the use under professional- technical. </w:t>
            </w:r>
          </w:p>
          <w:p w:rsidR="1CD27BE7" w:rsidP="297B38D6" w:rsidRDefault="1906CCAE" w14:paraId="54CE15D9" w14:textId="57831234">
            <w:pPr>
              <w:rPr>
                <w:sz w:val="20"/>
                <w:szCs w:val="20"/>
              </w:rPr>
            </w:pPr>
            <w:r w:rsidRPr="54FCF601">
              <w:rPr>
                <w:rFonts w:ascii="Segoe UI" w:hAnsi="Segoe UI" w:eastAsia="Segoe UI" w:cs="Segoe UI"/>
                <w:color w:val="333333"/>
                <w:sz w:val="18"/>
                <w:szCs w:val="18"/>
              </w:rPr>
              <w:t xml:space="preserve"> </w:t>
            </w:r>
            <w:r w:rsidRPr="54FCF601">
              <w:rPr>
                <w:rFonts w:ascii="Aptos" w:hAnsi="Aptos" w:eastAsia="Aptos" w:cs="Aptos"/>
                <w:sz w:val="20"/>
                <w:szCs w:val="20"/>
              </w:rPr>
              <w:t xml:space="preserve"> </w:t>
            </w:r>
          </w:p>
          <w:p w:rsidR="1CD27BE7" w:rsidP="1CD27BE7" w:rsidRDefault="305FA94A" w14:paraId="572A5E3F" w14:textId="1411E83F">
            <w:pPr>
              <w:rPr>
                <w:rFonts w:ascii="Aptos" w:hAnsi="Aptos" w:eastAsia="Aptos" w:cs="Aptos"/>
                <w:sz w:val="20"/>
                <w:szCs w:val="20"/>
              </w:rPr>
            </w:pPr>
            <w:r w:rsidRPr="1D3E04FD">
              <w:rPr>
                <w:rFonts w:ascii="Aptos" w:hAnsi="Aptos" w:eastAsia="Aptos" w:cs="Aptos"/>
                <w:sz w:val="20"/>
                <w:szCs w:val="20"/>
                <w:highlight w:val="yellow"/>
              </w:rPr>
              <w:t>Discussion Point:</w:t>
            </w:r>
            <w:r w:rsidRPr="1D3E04FD" w:rsidR="3D6F67FD">
              <w:rPr>
                <w:rFonts w:ascii="Aptos" w:hAnsi="Aptos" w:eastAsia="Aptos" w:cs="Aptos"/>
                <w:sz w:val="20"/>
                <w:szCs w:val="20"/>
                <w:highlight w:val="yellow"/>
              </w:rPr>
              <w:t xml:space="preserve"> </w:t>
            </w:r>
            <w:r w:rsidRPr="1D3E04FD" w:rsidR="405A931C">
              <w:rPr>
                <w:rFonts w:ascii="Aptos" w:hAnsi="Aptos" w:eastAsia="Aptos" w:cs="Aptos"/>
                <w:sz w:val="20"/>
                <w:szCs w:val="20"/>
                <w:highlight w:val="yellow"/>
              </w:rPr>
              <w:t xml:space="preserve">Code Z and </w:t>
            </w:r>
            <w:r w:rsidRPr="1D3E04FD" w:rsidR="0F906BB8">
              <w:rPr>
                <w:rFonts w:ascii="Aptos" w:hAnsi="Aptos" w:eastAsia="Aptos" w:cs="Aptos"/>
                <w:sz w:val="20"/>
                <w:szCs w:val="20"/>
                <w:highlight w:val="yellow"/>
              </w:rPr>
              <w:t xml:space="preserve">C00s </w:t>
            </w:r>
            <w:r w:rsidRPr="1D3E04FD" w:rsidR="1A7A2C82">
              <w:rPr>
                <w:rFonts w:ascii="Aptos" w:hAnsi="Aptos" w:eastAsia="Aptos" w:cs="Aptos"/>
                <w:sz w:val="20"/>
                <w:szCs w:val="20"/>
                <w:highlight w:val="yellow"/>
              </w:rPr>
              <w:t>(12</w:t>
            </w:r>
            <w:r w:rsidRPr="1D3E04FD" w:rsidR="6179939E">
              <w:rPr>
                <w:rFonts w:ascii="Aptos" w:hAnsi="Aptos" w:eastAsia="Aptos" w:cs="Aptos"/>
                <w:sz w:val="20"/>
                <w:szCs w:val="20"/>
                <w:highlight w:val="yellow"/>
              </w:rPr>
              <w:t>/17/25</w:t>
            </w:r>
            <w:r w:rsidRPr="1D3E04FD" w:rsidR="38D65D58">
              <w:rPr>
                <w:rFonts w:ascii="Aptos" w:hAnsi="Aptos" w:eastAsia="Aptos" w:cs="Aptos"/>
                <w:sz w:val="20"/>
                <w:szCs w:val="20"/>
                <w:highlight w:val="yellow"/>
              </w:rPr>
              <w:t>),</w:t>
            </w:r>
            <w:r w:rsidRPr="1D3E04FD" w:rsidR="73C9D123">
              <w:rPr>
                <w:rFonts w:ascii="Aptos" w:hAnsi="Aptos" w:eastAsia="Aptos" w:cs="Aptos"/>
                <w:sz w:val="20"/>
                <w:szCs w:val="20"/>
                <w:highlight w:val="yellow"/>
              </w:rPr>
              <w:t xml:space="preserve"> Non-credit </w:t>
            </w:r>
            <w:r w:rsidRPr="1D3E04FD" w:rsidR="12F646CD">
              <w:rPr>
                <w:rFonts w:ascii="Aptos" w:hAnsi="Aptos" w:eastAsia="Aptos" w:cs="Aptos"/>
                <w:sz w:val="20"/>
                <w:szCs w:val="20"/>
                <w:highlight w:val="yellow"/>
              </w:rPr>
              <w:t>transcripts</w:t>
            </w:r>
            <w:r w:rsidRPr="1D3E04FD" w:rsidR="4FF5EDD9">
              <w:rPr>
                <w:rFonts w:ascii="Aptos" w:hAnsi="Aptos" w:eastAsia="Aptos" w:cs="Aptos"/>
                <w:sz w:val="20"/>
                <w:szCs w:val="20"/>
                <w:highlight w:val="yellow"/>
              </w:rPr>
              <w:t xml:space="preserve"> </w:t>
            </w:r>
            <w:r w:rsidRPr="1D3E04FD" w:rsidR="45C3A713">
              <w:rPr>
                <w:rFonts w:ascii="Aptos" w:hAnsi="Aptos" w:eastAsia="Aptos" w:cs="Aptos"/>
                <w:sz w:val="20"/>
                <w:szCs w:val="20"/>
                <w:highlight w:val="yellow"/>
              </w:rPr>
              <w:t>(12/</w:t>
            </w:r>
            <w:r w:rsidRPr="1D3E04FD" w:rsidR="4CC087A3">
              <w:rPr>
                <w:rFonts w:ascii="Aptos" w:hAnsi="Aptos" w:eastAsia="Aptos" w:cs="Aptos"/>
                <w:sz w:val="20"/>
                <w:szCs w:val="20"/>
                <w:highlight w:val="yellow"/>
              </w:rPr>
              <w:t>17/25)</w:t>
            </w:r>
          </w:p>
        </w:tc>
      </w:tr>
      <w:tr w:rsidR="20AFDE5D" w:rsidTr="68229EA2" w14:paraId="34EEB093" w14:textId="77777777">
        <w:trPr>
          <w:trHeight w:val="300"/>
        </w:trPr>
        <w:tc>
          <w:tcPr>
            <w:tcW w:w="1785" w:type="dxa"/>
            <w:tcMar/>
          </w:tcPr>
          <w:p w:rsidR="20AFDE5D" w:rsidP="20AFDE5D" w:rsidRDefault="20AFDE5D" w14:paraId="2F295085" w14:textId="4B5EEC1C">
            <w:pPr>
              <w:rPr>
                <w:sz w:val="20"/>
                <w:szCs w:val="20"/>
              </w:rPr>
            </w:pPr>
            <w:r w:rsidRPr="20AFDE5D">
              <w:rPr>
                <w:sz w:val="20"/>
                <w:szCs w:val="20"/>
              </w:rPr>
              <w:t>Career and Technical Education (CTE)</w:t>
            </w:r>
          </w:p>
        </w:tc>
        <w:tc>
          <w:tcPr>
            <w:tcW w:w="5550" w:type="dxa"/>
            <w:tcMar/>
          </w:tcPr>
          <w:p w:rsidR="20AFDE5D" w:rsidP="20AFDE5D" w:rsidRDefault="20AFDE5D" w14:paraId="12A26937" w14:textId="75707530">
            <w:pPr>
              <w:rPr>
                <w:rFonts w:ascii="Aptos" w:hAnsi="Aptos" w:eastAsia="Aptos" w:cs="Aptos"/>
                <w:sz w:val="20"/>
                <w:szCs w:val="20"/>
              </w:rPr>
            </w:pPr>
            <w:r w:rsidRPr="20AFDE5D">
              <w:rPr>
                <w:rFonts w:ascii="Aptos" w:hAnsi="Aptos" w:eastAsia="Aptos" w:cs="Aptos"/>
                <w:sz w:val="20"/>
                <w:szCs w:val="20"/>
              </w:rPr>
              <w:t xml:space="preserve">Career and Technical Education (CTE) is a planned, standards-based system for grades 7-12, integrating academics with technical skills to prepare students for high-skill/high-wage careers or further education, focusing on real-world relevance, industry standards, and pathways to postsecondary credentials or direct workforce entry, supported by local advisory boards and industry partners.  </w:t>
            </w:r>
          </w:p>
        </w:tc>
        <w:tc>
          <w:tcPr>
            <w:tcW w:w="2235" w:type="dxa"/>
            <w:tcMar/>
          </w:tcPr>
          <w:p w:rsidR="20AFDE5D" w:rsidP="20AFDE5D" w:rsidRDefault="20AFDE5D" w14:paraId="616DC15C" w14:textId="46EA0D53">
            <w:pPr>
              <w:rPr>
                <w:rFonts w:ascii="Aptos" w:hAnsi="Aptos" w:eastAsia="Aptos" w:cs="Aptos"/>
                <w:sz w:val="20"/>
                <w:szCs w:val="20"/>
              </w:rPr>
            </w:pPr>
            <w:r w:rsidRPr="20AFDE5D">
              <w:rPr>
                <w:rFonts w:ascii="Aptos" w:hAnsi="Aptos" w:eastAsia="Aptos" w:cs="Aptos"/>
                <w:sz w:val="20"/>
                <w:szCs w:val="20"/>
              </w:rPr>
              <w:t xml:space="preserve">RCW </w:t>
            </w:r>
            <w:hyperlink r:id="rId14">
              <w:r w:rsidRPr="20AFDE5D">
                <w:rPr>
                  <w:rStyle w:val="Hyperlink"/>
                  <w:rFonts w:ascii="Aptos" w:hAnsi="Aptos" w:eastAsia="Aptos" w:cs="Aptos"/>
                  <w:color w:val="auto"/>
                  <w:sz w:val="20"/>
                  <w:szCs w:val="20"/>
                  <w:u w:val="none"/>
                </w:rPr>
                <w:t>28A.700.010(5)</w:t>
              </w:r>
            </w:hyperlink>
          </w:p>
          <w:p w:rsidR="20AFDE5D" w:rsidP="20AFDE5D" w:rsidRDefault="20AFDE5D" w14:paraId="68396015" w14:textId="68F82297">
            <w:pPr>
              <w:rPr>
                <w:sz w:val="20"/>
                <w:szCs w:val="20"/>
              </w:rPr>
            </w:pPr>
          </w:p>
          <w:p w:rsidR="20AFDE5D" w:rsidP="20AFDE5D" w:rsidRDefault="20AFDE5D" w14:paraId="2DC0A734" w14:textId="2549A664">
            <w:pPr>
              <w:rPr>
                <w:sz w:val="20"/>
                <w:szCs w:val="20"/>
              </w:rPr>
            </w:pPr>
            <w:hyperlink r:id="rId15">
              <w:r w:rsidRPr="20AFDE5D">
                <w:rPr>
                  <w:rStyle w:val="Hyperlink"/>
                  <w:sz w:val="20"/>
                  <w:szCs w:val="20"/>
                </w:rPr>
                <w:t>Washington Office of Superintendent of Public Instruction</w:t>
              </w:r>
            </w:hyperlink>
          </w:p>
        </w:tc>
        <w:tc>
          <w:tcPr>
            <w:tcW w:w="4892" w:type="dxa"/>
            <w:tcMar/>
          </w:tcPr>
          <w:p w:rsidR="20AFDE5D" w:rsidP="20AFDE5D" w:rsidRDefault="20AFDE5D" w14:paraId="5DA4CC47" w14:textId="739B6169">
            <w:pPr>
              <w:rPr>
                <w:sz w:val="20"/>
                <w:szCs w:val="20"/>
              </w:rPr>
            </w:pPr>
          </w:p>
        </w:tc>
      </w:tr>
      <w:tr w:rsidR="1CD27BE7" w:rsidTr="68229EA2" w14:paraId="7AF05E6E" w14:textId="77777777">
        <w:trPr>
          <w:trHeight w:val="300"/>
        </w:trPr>
        <w:tc>
          <w:tcPr>
            <w:tcW w:w="1785" w:type="dxa"/>
            <w:tcMar/>
          </w:tcPr>
          <w:p w:rsidR="3806155F" w:rsidP="1CD27BE7" w:rsidRDefault="24DCDAE8" w14:paraId="3689D410" w14:textId="5CC1B70E">
            <w:pPr>
              <w:rPr>
                <w:sz w:val="20"/>
                <w:szCs w:val="20"/>
              </w:rPr>
            </w:pPr>
            <w:r w:rsidRPr="54FCF601">
              <w:rPr>
                <w:sz w:val="20"/>
                <w:szCs w:val="20"/>
              </w:rPr>
              <w:t>Certificate</w:t>
            </w:r>
          </w:p>
        </w:tc>
        <w:tc>
          <w:tcPr>
            <w:tcW w:w="5550" w:type="dxa"/>
            <w:tcMar/>
          </w:tcPr>
          <w:p w:rsidR="5E0EAC94" w:rsidP="54FCF601" w:rsidRDefault="5E0EAC94" w14:paraId="0201DD9E" w14:textId="4DA60A50">
            <w:pPr>
              <w:rPr>
                <w:sz w:val="20"/>
                <w:szCs w:val="20"/>
              </w:rPr>
            </w:pPr>
            <w:r w:rsidRPr="54FCF601">
              <w:rPr>
                <w:sz w:val="20"/>
                <w:szCs w:val="20"/>
              </w:rPr>
              <w:t>Certificates are credentials awarded by an education institution based on completion of all requirements for a program of study, including coursework and tests. They are not time limited and do not need to be renewed.</w:t>
            </w:r>
          </w:p>
          <w:p w:rsidR="1CD27BE7" w:rsidP="1CD27BE7" w:rsidRDefault="1CD27BE7" w14:paraId="109F8C96" w14:textId="0A8FFE28">
            <w:pPr>
              <w:rPr>
                <w:sz w:val="20"/>
                <w:szCs w:val="20"/>
              </w:rPr>
            </w:pPr>
          </w:p>
          <w:p w:rsidR="1CD27BE7" w:rsidP="1CD27BE7" w:rsidRDefault="1CD27BE7" w14:paraId="2A35CA99" w14:textId="22C63C8E">
            <w:pPr>
              <w:rPr>
                <w:sz w:val="20"/>
                <w:szCs w:val="20"/>
              </w:rPr>
            </w:pPr>
          </w:p>
        </w:tc>
        <w:tc>
          <w:tcPr>
            <w:tcW w:w="2235" w:type="dxa"/>
            <w:tcMar/>
          </w:tcPr>
          <w:p w:rsidR="3A3243AE" w:rsidP="73C9BED2" w:rsidRDefault="06AA62CF" w14:paraId="6CB6D6B9" w14:textId="59C65C83">
            <w:pPr>
              <w:rPr>
                <w:sz w:val="20"/>
                <w:szCs w:val="20"/>
              </w:rPr>
            </w:pPr>
            <w:r w:rsidRPr="54FCF601">
              <w:rPr>
                <w:sz w:val="20"/>
                <w:szCs w:val="20"/>
              </w:rPr>
              <w:t>SBCTC’s</w:t>
            </w:r>
            <w:r w:rsidRPr="54FCF601" w:rsidR="6E0844CF">
              <w:rPr>
                <w:sz w:val="20"/>
                <w:szCs w:val="20"/>
              </w:rPr>
              <w:t xml:space="preserve"> Professional-Technical Program Approach (</w:t>
            </w:r>
            <w:hyperlink r:id="rId16">
              <w:r w:rsidRPr="54FCF601">
                <w:rPr>
                  <w:rStyle w:val="Hyperlink"/>
                  <w:color w:val="auto"/>
                  <w:sz w:val="20"/>
                  <w:szCs w:val="20"/>
                </w:rPr>
                <w:t>PAR</w:t>
              </w:r>
              <w:r w:rsidRPr="54FCF601" w:rsidR="09C3AF54">
                <w:rPr>
                  <w:rStyle w:val="Hyperlink"/>
                  <w:color w:val="auto"/>
                  <w:sz w:val="20"/>
                  <w:szCs w:val="20"/>
                </w:rPr>
                <w:t>)</w:t>
              </w:r>
              <w:r w:rsidRPr="54FCF601">
                <w:rPr>
                  <w:rStyle w:val="Hyperlink"/>
                  <w:color w:val="auto"/>
                  <w:sz w:val="20"/>
                  <w:szCs w:val="20"/>
                </w:rPr>
                <w:t xml:space="preserve"> Guidelines</w:t>
              </w:r>
            </w:hyperlink>
          </w:p>
          <w:p w:rsidR="3A3243AE" w:rsidP="73C9BED2" w:rsidRDefault="3A3243AE" w14:paraId="39928C57" w14:textId="3DBF4B0C">
            <w:pPr>
              <w:rPr>
                <w:sz w:val="20"/>
                <w:szCs w:val="20"/>
              </w:rPr>
            </w:pPr>
          </w:p>
          <w:p w:rsidR="3A3243AE" w:rsidP="73C9BED2" w:rsidRDefault="69709584" w14:paraId="4564CA60" w14:textId="145DA717">
            <w:pPr>
              <w:rPr>
                <w:sz w:val="20"/>
                <w:szCs w:val="20"/>
              </w:rPr>
            </w:pPr>
            <w:hyperlink r:id="rId17">
              <w:r w:rsidRPr="73C9BED2">
                <w:rPr>
                  <w:rStyle w:val="Hyperlink"/>
                  <w:sz w:val="20"/>
                  <w:szCs w:val="20"/>
                </w:rPr>
                <w:t>Short-term Credentials: A vital measure of post-high school educational attainment in the United States,</w:t>
              </w:r>
            </w:hyperlink>
            <w:r w:rsidRPr="73C9BED2">
              <w:rPr>
                <w:sz w:val="20"/>
                <w:szCs w:val="20"/>
              </w:rPr>
              <w:t xml:space="preserve"> </w:t>
            </w:r>
          </w:p>
          <w:p w:rsidR="3A3243AE" w:rsidP="1CD27BE7" w:rsidRDefault="69709584" w14:paraId="475F1657" w14:textId="70C4767C">
            <w:pPr>
              <w:rPr>
                <w:sz w:val="20"/>
                <w:szCs w:val="20"/>
              </w:rPr>
            </w:pPr>
            <w:r w:rsidRPr="73C9BED2">
              <w:rPr>
                <w:sz w:val="20"/>
                <w:szCs w:val="20"/>
              </w:rPr>
              <w:t>Lumina</w:t>
            </w:r>
          </w:p>
        </w:tc>
        <w:tc>
          <w:tcPr>
            <w:tcW w:w="4892" w:type="dxa"/>
            <w:tcMar/>
          </w:tcPr>
          <w:p w:rsidR="546E4157" w:rsidP="1CD27BE7" w:rsidRDefault="59E75687" w14:paraId="27F50399" w14:textId="7526B26F">
            <w:pPr>
              <w:rPr>
                <w:sz w:val="20"/>
                <w:szCs w:val="20"/>
              </w:rPr>
            </w:pPr>
            <w:r w:rsidRPr="54FCF601">
              <w:rPr>
                <w:sz w:val="20"/>
                <w:szCs w:val="20"/>
              </w:rPr>
              <w:t>Professional-</w:t>
            </w:r>
            <w:r w:rsidRPr="54FCF601" w:rsidR="3EEDED31">
              <w:rPr>
                <w:sz w:val="20"/>
                <w:szCs w:val="20"/>
              </w:rPr>
              <w:t>Technical</w:t>
            </w:r>
            <w:r w:rsidRPr="54FCF601">
              <w:rPr>
                <w:sz w:val="20"/>
                <w:szCs w:val="20"/>
              </w:rPr>
              <w:t xml:space="preserve"> Certificates, typically earned </w:t>
            </w:r>
            <w:bookmarkStart w:name="_Int_mqGIOvpM" w:id="1"/>
            <w:r w:rsidRPr="54FCF601">
              <w:rPr>
                <w:sz w:val="20"/>
                <w:szCs w:val="20"/>
              </w:rPr>
              <w:t>in</w:t>
            </w:r>
            <w:bookmarkEnd w:id="1"/>
            <w:r w:rsidRPr="54FCF601">
              <w:rPr>
                <w:sz w:val="20"/>
                <w:szCs w:val="20"/>
              </w:rPr>
              <w:t xml:space="preserve"> six months to one year, provide learners with a set of skills to find a job or stay current in their profession</w:t>
            </w:r>
            <w:r w:rsidRPr="54FCF601" w:rsidR="44C81808">
              <w:rPr>
                <w:sz w:val="20"/>
                <w:szCs w:val="20"/>
              </w:rPr>
              <w:t xml:space="preserve"> (i.e., must have a workforce outcome)</w:t>
            </w:r>
            <w:r w:rsidRPr="54FCF601">
              <w:rPr>
                <w:sz w:val="20"/>
                <w:szCs w:val="20"/>
              </w:rPr>
              <w:t>. Some examples are CAD/drafting, Web Design, and Medical Assisting. Many certificates are designed to build on top of each other and eventually lead to a longer-term certificate or degree. These are called "stackable" certificates.</w:t>
            </w:r>
            <w:r w:rsidRPr="54FCF601" w:rsidR="2316983D">
              <w:rPr>
                <w:sz w:val="20"/>
                <w:szCs w:val="20"/>
              </w:rPr>
              <w:t xml:space="preserve"> </w:t>
            </w:r>
            <w:hyperlink r:id="rId18">
              <w:r w:rsidRPr="54FCF601" w:rsidR="2316983D">
                <w:rPr>
                  <w:rStyle w:val="Hyperlink"/>
                  <w:color w:val="auto"/>
                  <w:sz w:val="20"/>
                  <w:szCs w:val="20"/>
                </w:rPr>
                <w:t>SBCTC Draft Working Definitions for Micro-credentials and Micro-pathways</w:t>
              </w:r>
            </w:hyperlink>
          </w:p>
          <w:p w:rsidR="1CD27BE7" w:rsidP="1CD27BE7" w:rsidRDefault="1CD27BE7" w14:paraId="5F92234D" w14:textId="7D4EA453">
            <w:pPr>
              <w:rPr>
                <w:sz w:val="20"/>
                <w:szCs w:val="20"/>
              </w:rPr>
            </w:pPr>
          </w:p>
        </w:tc>
      </w:tr>
      <w:tr w:rsidR="73C9BED2" w:rsidTr="68229EA2" w14:paraId="5EA492A8" w14:textId="77777777">
        <w:trPr>
          <w:trHeight w:val="300"/>
        </w:trPr>
        <w:tc>
          <w:tcPr>
            <w:tcW w:w="1785" w:type="dxa"/>
            <w:tcMar/>
          </w:tcPr>
          <w:p w:rsidR="0BC2AECB" w:rsidP="73C9BED2" w:rsidRDefault="0BC2AECB" w14:paraId="54E79DB6" w14:textId="2CD48928">
            <w:pPr>
              <w:rPr>
                <w:sz w:val="20"/>
                <w:szCs w:val="20"/>
              </w:rPr>
            </w:pPr>
            <w:r w:rsidRPr="73C9BED2">
              <w:rPr>
                <w:sz w:val="20"/>
                <w:szCs w:val="20"/>
              </w:rPr>
              <w:t>Certification</w:t>
            </w:r>
          </w:p>
        </w:tc>
        <w:tc>
          <w:tcPr>
            <w:tcW w:w="5550" w:type="dxa"/>
            <w:tcMar/>
          </w:tcPr>
          <w:p w:rsidR="0BC2AECB" w:rsidP="54FCF601" w:rsidRDefault="5B14D8E1" w14:paraId="3F0BF521" w14:textId="72A2E3A2">
            <w:pPr>
              <w:rPr>
                <w:sz w:val="20"/>
                <w:szCs w:val="20"/>
              </w:rPr>
            </w:pPr>
            <w:r w:rsidRPr="54FCF601">
              <w:rPr>
                <w:sz w:val="20"/>
                <w:szCs w:val="20"/>
              </w:rPr>
              <w:t>C</w:t>
            </w:r>
            <w:r w:rsidRPr="54FCF601" w:rsidR="0BC2AECB">
              <w:rPr>
                <w:sz w:val="20"/>
                <w:szCs w:val="20"/>
              </w:rPr>
              <w:t>ertification</w:t>
            </w:r>
            <w:r w:rsidRPr="54FCF601" w:rsidR="352FAD2C">
              <w:rPr>
                <w:sz w:val="20"/>
                <w:szCs w:val="20"/>
              </w:rPr>
              <w:t>s</w:t>
            </w:r>
            <w:r w:rsidRPr="54FCF601" w:rsidR="0BC2AECB">
              <w:rPr>
                <w:sz w:val="20"/>
                <w:szCs w:val="20"/>
              </w:rPr>
              <w:t xml:space="preserve"> result from assessment</w:t>
            </w:r>
            <w:r w:rsidRPr="54FCF601" w:rsidR="7EB160C4">
              <w:rPr>
                <w:sz w:val="20"/>
                <w:szCs w:val="20"/>
              </w:rPr>
              <w:t>s</w:t>
            </w:r>
            <w:r w:rsidRPr="54FCF601" w:rsidR="0BC2AECB">
              <w:rPr>
                <w:sz w:val="20"/>
                <w:szCs w:val="20"/>
              </w:rPr>
              <w:t xml:space="preserve"> process</w:t>
            </w:r>
            <w:r w:rsidRPr="54FCF601" w:rsidR="29D0BC43">
              <w:rPr>
                <w:sz w:val="20"/>
                <w:szCs w:val="20"/>
              </w:rPr>
              <w:t>es</w:t>
            </w:r>
            <w:r w:rsidRPr="54FCF601" w:rsidR="0BC2AECB">
              <w:rPr>
                <w:sz w:val="20"/>
                <w:szCs w:val="20"/>
              </w:rPr>
              <w:t xml:space="preserve"> indicating mastery/competency measured against a set of defensible standards derived from industry-wide process</w:t>
            </w:r>
            <w:r w:rsidRPr="54FCF601" w:rsidR="2DF4A187">
              <w:rPr>
                <w:sz w:val="20"/>
                <w:szCs w:val="20"/>
              </w:rPr>
              <w:t>es</w:t>
            </w:r>
            <w:r w:rsidRPr="54FCF601" w:rsidR="0BC2AECB">
              <w:rPr>
                <w:sz w:val="20"/>
                <w:szCs w:val="20"/>
              </w:rPr>
              <w:t xml:space="preserve"> identifying</w:t>
            </w:r>
            <w:r w:rsidRPr="54FCF601" w:rsidR="0E894D4E">
              <w:rPr>
                <w:sz w:val="20"/>
                <w:szCs w:val="20"/>
              </w:rPr>
              <w:t xml:space="preserve"> knowledge and skills</w:t>
            </w:r>
            <w:r w:rsidRPr="54FCF601" w:rsidR="4F6203F5">
              <w:rPr>
                <w:sz w:val="20"/>
                <w:szCs w:val="20"/>
              </w:rPr>
              <w:t xml:space="preserve"> required for specific occupations or roles</w:t>
            </w:r>
            <w:r w:rsidRPr="54FCF601" w:rsidR="0E894D4E">
              <w:rPr>
                <w:sz w:val="20"/>
                <w:szCs w:val="20"/>
              </w:rPr>
              <w:t>. Certifications are awarded by third party, standard-setting organizations and typically have on-going requirements to maintain.</w:t>
            </w:r>
          </w:p>
        </w:tc>
        <w:tc>
          <w:tcPr>
            <w:tcW w:w="2235" w:type="dxa"/>
            <w:tcMar/>
          </w:tcPr>
          <w:p w:rsidR="59C9D2D1" w:rsidP="73C9BED2" w:rsidRDefault="59C9D2D1" w14:paraId="7A62B8A5" w14:textId="145DA717">
            <w:pPr>
              <w:rPr>
                <w:sz w:val="20"/>
                <w:szCs w:val="20"/>
              </w:rPr>
            </w:pPr>
            <w:hyperlink r:id="rId19">
              <w:r w:rsidRPr="73C9BED2">
                <w:rPr>
                  <w:rStyle w:val="Hyperlink"/>
                  <w:sz w:val="20"/>
                  <w:szCs w:val="20"/>
                </w:rPr>
                <w:t>Short-term Credentials: A vital measure of post-high school educational attainment in the United States,</w:t>
              </w:r>
            </w:hyperlink>
            <w:r w:rsidRPr="73C9BED2">
              <w:rPr>
                <w:sz w:val="20"/>
                <w:szCs w:val="20"/>
              </w:rPr>
              <w:t xml:space="preserve"> </w:t>
            </w:r>
          </w:p>
          <w:p w:rsidR="59C9D2D1" w:rsidP="73C9BED2" w:rsidRDefault="59C9D2D1" w14:paraId="20C18549" w14:textId="03CDDE19">
            <w:pPr>
              <w:rPr>
                <w:sz w:val="20"/>
                <w:szCs w:val="20"/>
              </w:rPr>
            </w:pPr>
            <w:r w:rsidRPr="73C9BED2">
              <w:rPr>
                <w:sz w:val="20"/>
                <w:szCs w:val="20"/>
              </w:rPr>
              <w:t>Lumina</w:t>
            </w:r>
          </w:p>
        </w:tc>
        <w:tc>
          <w:tcPr>
            <w:tcW w:w="4892" w:type="dxa"/>
            <w:tcMar/>
          </w:tcPr>
          <w:p w:rsidR="73C9BED2" w:rsidP="73C9BED2" w:rsidRDefault="73C9BED2" w14:paraId="1D32EF85" w14:textId="390BD7A5">
            <w:pPr>
              <w:rPr>
                <w:sz w:val="20"/>
                <w:szCs w:val="20"/>
              </w:rPr>
            </w:pPr>
          </w:p>
        </w:tc>
      </w:tr>
      <w:tr w:rsidR="20AFDE5D" w:rsidTr="68229EA2" w14:paraId="05F3DC36" w14:textId="77777777">
        <w:trPr>
          <w:trHeight w:val="300"/>
        </w:trPr>
        <w:tc>
          <w:tcPr>
            <w:tcW w:w="1785" w:type="dxa"/>
            <w:tcMar/>
          </w:tcPr>
          <w:p w:rsidR="20AFDE5D" w:rsidP="20AFDE5D" w:rsidRDefault="20AFDE5D" w14:paraId="29AB03EE" w14:textId="4BEF2CED">
            <w:pPr>
              <w:rPr>
                <w:sz w:val="20"/>
                <w:szCs w:val="20"/>
              </w:rPr>
            </w:pPr>
            <w:r w:rsidRPr="20AFDE5D">
              <w:rPr>
                <w:sz w:val="20"/>
                <w:szCs w:val="20"/>
              </w:rPr>
              <w:t>Community education</w:t>
            </w:r>
          </w:p>
        </w:tc>
        <w:tc>
          <w:tcPr>
            <w:tcW w:w="5550" w:type="dxa"/>
            <w:tcMar/>
          </w:tcPr>
          <w:p w:rsidR="20AFDE5D" w:rsidP="20AFDE5D" w:rsidRDefault="20AFDE5D" w14:paraId="5139160D" w14:textId="36DF96FF">
            <w:pPr>
              <w:rPr>
                <w:sz w:val="20"/>
                <w:szCs w:val="20"/>
              </w:rPr>
            </w:pPr>
            <w:r w:rsidRPr="20AFDE5D">
              <w:rPr>
                <w:sz w:val="20"/>
                <w:szCs w:val="20"/>
              </w:rPr>
              <w:t>Community education is a term used by some community and technical colleges synonymously with continuing education.</w:t>
            </w:r>
          </w:p>
          <w:p w:rsidR="20AFDE5D" w:rsidP="20AFDE5D" w:rsidRDefault="20AFDE5D" w14:paraId="48D7D572" w14:textId="7EA1C180">
            <w:pPr>
              <w:rPr>
                <w:sz w:val="20"/>
                <w:szCs w:val="20"/>
              </w:rPr>
            </w:pPr>
          </w:p>
          <w:p w:rsidR="20AFDE5D" w:rsidP="20AFDE5D" w:rsidRDefault="20AFDE5D" w14:paraId="40916252" w14:textId="55DE6B1B">
            <w:pPr>
              <w:rPr>
                <w:sz w:val="20"/>
                <w:szCs w:val="20"/>
              </w:rPr>
            </w:pPr>
            <w:r w:rsidRPr="20AFDE5D">
              <w:rPr>
                <w:sz w:val="20"/>
                <w:szCs w:val="20"/>
              </w:rPr>
              <w:t>Community education programs is defined in state common school provisions statute as instructional, recreational and/or service programs on a noncredit and nontuition basis, excluding fees for supplies, materials, or instructor costs, for the purpose of stimulating the full educational potential and meeting the needs of the district's residents of all ages</w:t>
            </w:r>
          </w:p>
        </w:tc>
        <w:tc>
          <w:tcPr>
            <w:tcW w:w="2235" w:type="dxa"/>
            <w:tcMar/>
          </w:tcPr>
          <w:p w:rsidR="20AFDE5D" w:rsidP="20AFDE5D" w:rsidRDefault="20AFDE5D" w14:paraId="593AACF4" w14:textId="54669F3F">
            <w:pPr>
              <w:rPr>
                <w:sz w:val="20"/>
                <w:szCs w:val="20"/>
              </w:rPr>
            </w:pPr>
            <w:r w:rsidRPr="20AFDE5D">
              <w:rPr>
                <w:sz w:val="20"/>
                <w:szCs w:val="20"/>
              </w:rPr>
              <w:t>Various sources</w:t>
            </w:r>
          </w:p>
          <w:p w:rsidR="20AFDE5D" w:rsidP="20AFDE5D" w:rsidRDefault="20AFDE5D" w14:paraId="24992896" w14:textId="3F6F2ED0">
            <w:pPr>
              <w:rPr>
                <w:sz w:val="20"/>
                <w:szCs w:val="20"/>
              </w:rPr>
            </w:pPr>
          </w:p>
          <w:p w:rsidR="20AFDE5D" w:rsidP="20AFDE5D" w:rsidRDefault="20AFDE5D" w14:paraId="6D2EE09D" w14:textId="59A2F283">
            <w:pPr>
              <w:rPr>
                <w:sz w:val="20"/>
                <w:szCs w:val="20"/>
              </w:rPr>
            </w:pPr>
          </w:p>
          <w:p w:rsidR="20AFDE5D" w:rsidP="20AFDE5D" w:rsidRDefault="20AFDE5D" w14:paraId="6670495E" w14:textId="720BF31E">
            <w:pPr>
              <w:rPr>
                <w:sz w:val="20"/>
                <w:szCs w:val="20"/>
              </w:rPr>
            </w:pPr>
          </w:p>
          <w:p w:rsidR="20AFDE5D" w:rsidP="20AFDE5D" w:rsidRDefault="20AFDE5D" w14:paraId="3C544C88" w14:textId="7EC197FB">
            <w:pPr>
              <w:rPr>
                <w:rFonts w:ascii="Aptos" w:hAnsi="Aptos" w:eastAsia="Aptos" w:cs="Aptos"/>
                <w:sz w:val="20"/>
                <w:szCs w:val="20"/>
              </w:rPr>
            </w:pPr>
            <w:r w:rsidRPr="20AFDE5D">
              <w:rPr>
                <w:rFonts w:ascii="Aptos" w:hAnsi="Aptos" w:eastAsia="Aptos" w:cs="Aptos"/>
                <w:sz w:val="20"/>
                <w:szCs w:val="20"/>
              </w:rPr>
              <w:t xml:space="preserve">RCW </w:t>
            </w:r>
            <w:hyperlink r:id="rId20">
              <w:r w:rsidRPr="20AFDE5D">
                <w:rPr>
                  <w:rStyle w:val="Hyperlink"/>
                  <w:rFonts w:ascii="Aptos" w:hAnsi="Aptos" w:eastAsia="Aptos" w:cs="Aptos"/>
                  <w:color w:val="auto"/>
                  <w:sz w:val="20"/>
                  <w:szCs w:val="20"/>
                  <w:u w:val="none"/>
                </w:rPr>
                <w:t>28A.620.020</w:t>
              </w:r>
            </w:hyperlink>
          </w:p>
          <w:p w:rsidR="20AFDE5D" w:rsidP="20AFDE5D" w:rsidRDefault="20AFDE5D" w14:paraId="27D1B029" w14:textId="51BA0262">
            <w:pPr>
              <w:rPr>
                <w:sz w:val="20"/>
                <w:szCs w:val="20"/>
              </w:rPr>
            </w:pPr>
          </w:p>
          <w:p w:rsidR="20AFDE5D" w:rsidP="20AFDE5D" w:rsidRDefault="20AFDE5D" w14:paraId="37ACAC57" w14:textId="4ED9EA10">
            <w:pPr>
              <w:rPr>
                <w:sz w:val="20"/>
                <w:szCs w:val="20"/>
              </w:rPr>
            </w:pPr>
          </w:p>
        </w:tc>
        <w:tc>
          <w:tcPr>
            <w:tcW w:w="4892" w:type="dxa"/>
            <w:tcMar/>
          </w:tcPr>
          <w:p w:rsidR="20AFDE5D" w:rsidP="56239BF1" w:rsidRDefault="375B0135" w14:paraId="4693D841" w14:textId="2E3227EE">
            <w:pPr>
              <w:rPr>
                <w:sz w:val="20"/>
                <w:szCs w:val="20"/>
              </w:rPr>
            </w:pPr>
            <w:r w:rsidRPr="56239BF1" w:rsidR="56239BF1">
              <w:rPr>
                <w:sz w:val="20"/>
                <w:szCs w:val="20"/>
              </w:rPr>
              <w:t xml:space="preserve">Discussion point: The task force discussed the variation between departmental names and instructional content offered </w:t>
            </w:r>
            <w:r w:rsidRPr="56239BF1" w:rsidR="56239BF1">
              <w:rPr>
                <w:sz w:val="20"/>
                <w:szCs w:val="20"/>
              </w:rPr>
              <w:t>therein</w:t>
            </w:r>
            <w:r w:rsidRPr="56239BF1" w:rsidR="56239BF1">
              <w:rPr>
                <w:sz w:val="20"/>
                <w:szCs w:val="20"/>
              </w:rPr>
              <w:t xml:space="preserve">. For instance, a college may have a department called “Community Education” that offers an array of programs and courses for professional development, personal enrichment, and corporate/contract training. In this instance, “Community Education” as a department name is synonymous with “Continuing Education.” In other cases, a college may use the term “Community Education” to refer only to personal enrichment offerings.  </w:t>
            </w:r>
          </w:p>
          <w:p w:rsidR="20AFDE5D" w:rsidP="56239BF1" w:rsidRDefault="375B0135" w14:paraId="5D14C44D" w14:textId="64C19857">
            <w:pPr>
              <w:rPr>
                <w:sz w:val="20"/>
                <w:szCs w:val="20"/>
              </w:rPr>
            </w:pPr>
          </w:p>
          <w:p w:rsidR="20AFDE5D" w:rsidP="20AFDE5D" w:rsidRDefault="375B0135" w14:paraId="44E3855C" w14:textId="1FBA161B">
            <w:pPr>
              <w:rPr>
                <w:sz w:val="20"/>
                <w:szCs w:val="20"/>
              </w:rPr>
            </w:pPr>
            <w:r w:rsidRPr="56239BF1" w:rsidR="56239BF1">
              <w:rPr>
                <w:sz w:val="20"/>
                <w:szCs w:val="20"/>
              </w:rPr>
              <w:t>There are potential implications associated with federal definitions/allowability that should be explored prior to making any Policy Manual or statutory changes.</w:t>
            </w:r>
          </w:p>
        </w:tc>
      </w:tr>
      <w:tr w:rsidR="20AFDE5D" w:rsidTr="68229EA2" w14:paraId="6ACD3A57" w14:textId="77777777">
        <w:trPr>
          <w:trHeight w:val="300"/>
        </w:trPr>
        <w:tc>
          <w:tcPr>
            <w:tcW w:w="1785" w:type="dxa"/>
            <w:tcMar/>
          </w:tcPr>
          <w:p w:rsidR="20AFDE5D" w:rsidP="20AFDE5D" w:rsidRDefault="20AFDE5D" w14:paraId="04FC936A" w14:textId="3637C290">
            <w:pPr>
              <w:rPr>
                <w:sz w:val="20"/>
                <w:szCs w:val="20"/>
              </w:rPr>
            </w:pPr>
            <w:r w:rsidRPr="20AFDE5D">
              <w:rPr>
                <w:sz w:val="20"/>
                <w:szCs w:val="20"/>
              </w:rPr>
              <w:t>Community service</w:t>
            </w:r>
          </w:p>
        </w:tc>
        <w:tc>
          <w:tcPr>
            <w:tcW w:w="5550" w:type="dxa"/>
            <w:tcMar/>
          </w:tcPr>
          <w:p w:rsidR="20AFDE5D" w:rsidP="20AFDE5D" w:rsidRDefault="20AFDE5D" w14:paraId="55334FA9" w14:textId="2EC67CDE">
            <w:pPr>
              <w:rPr>
                <w:sz w:val="20"/>
                <w:szCs w:val="20"/>
              </w:rPr>
            </w:pPr>
            <w:r w:rsidRPr="20AFDE5D">
              <w:rPr>
                <w:sz w:val="20"/>
                <w:szCs w:val="20"/>
              </w:rPr>
              <w:t xml:space="preserve">Community service is a generally outdated term used to describe services of educational, cultural, or recreational nature delivered by college continuing education departments or programs. </w:t>
            </w:r>
          </w:p>
        </w:tc>
        <w:tc>
          <w:tcPr>
            <w:tcW w:w="2235" w:type="dxa"/>
            <w:tcMar/>
          </w:tcPr>
          <w:p w:rsidR="20AFDE5D" w:rsidP="20AFDE5D" w:rsidRDefault="20AFDE5D" w14:paraId="790D99B5" w14:textId="69F0B537">
            <w:pPr>
              <w:rPr>
                <w:sz w:val="20"/>
                <w:szCs w:val="20"/>
              </w:rPr>
            </w:pPr>
            <w:r w:rsidRPr="20AFDE5D">
              <w:rPr>
                <w:sz w:val="20"/>
                <w:szCs w:val="20"/>
              </w:rPr>
              <w:t>RCW 28B.50.90</w:t>
            </w:r>
          </w:p>
        </w:tc>
        <w:tc>
          <w:tcPr>
            <w:tcW w:w="4892" w:type="dxa"/>
            <w:tcMar/>
          </w:tcPr>
          <w:p w:rsidR="20AFDE5D" w:rsidP="20AFDE5D" w:rsidRDefault="20AFDE5D" w14:paraId="36E3B6EE" w14:textId="0D40B875">
            <w:pPr>
              <w:rPr>
                <w:sz w:val="20"/>
                <w:szCs w:val="20"/>
              </w:rPr>
            </w:pPr>
          </w:p>
        </w:tc>
      </w:tr>
      <w:tr w:rsidR="1CD27BE7" w:rsidTr="68229EA2" w14:paraId="23F853DA" w14:textId="77777777">
        <w:trPr>
          <w:trHeight w:val="300"/>
        </w:trPr>
        <w:tc>
          <w:tcPr>
            <w:tcW w:w="1785" w:type="dxa"/>
            <w:tcMar/>
          </w:tcPr>
          <w:p w:rsidR="2FFB2AE5" w:rsidP="1CD27BE7" w:rsidRDefault="2FFB2AE5" w14:paraId="27E3E04A" w14:textId="1A87D6A9">
            <w:pPr>
              <w:rPr>
                <w:sz w:val="20"/>
                <w:szCs w:val="20"/>
              </w:rPr>
            </w:pPr>
            <w:r w:rsidRPr="54FCF601">
              <w:rPr>
                <w:sz w:val="20"/>
                <w:szCs w:val="20"/>
              </w:rPr>
              <w:t>Competency</w:t>
            </w:r>
            <w:r w:rsidRPr="54FCF601" w:rsidR="21449E11">
              <w:rPr>
                <w:sz w:val="20"/>
                <w:szCs w:val="20"/>
              </w:rPr>
              <w:t>-</w:t>
            </w:r>
            <w:r w:rsidRPr="54FCF601">
              <w:rPr>
                <w:sz w:val="20"/>
                <w:szCs w:val="20"/>
              </w:rPr>
              <w:t>based education</w:t>
            </w:r>
          </w:p>
        </w:tc>
        <w:tc>
          <w:tcPr>
            <w:tcW w:w="5550" w:type="dxa"/>
            <w:tcMar/>
          </w:tcPr>
          <w:p w:rsidR="4DC23575" w:rsidP="1CD27BE7" w:rsidRDefault="4DC23575" w14:paraId="0823F839" w14:textId="07F5641B">
            <w:pPr>
              <w:rPr>
                <w:sz w:val="20"/>
                <w:szCs w:val="20"/>
              </w:rPr>
            </w:pPr>
            <w:r w:rsidRPr="1CD27BE7">
              <w:rPr>
                <w:sz w:val="20"/>
                <w:szCs w:val="20"/>
              </w:rPr>
              <w:t>Competency-based education allows students to advance based on their proven mastery of a subject rather than classroom time.</w:t>
            </w:r>
          </w:p>
        </w:tc>
        <w:tc>
          <w:tcPr>
            <w:tcW w:w="2235" w:type="dxa"/>
            <w:tcMar/>
          </w:tcPr>
          <w:p w:rsidR="27354FE1" w:rsidP="1CD27BE7" w:rsidRDefault="27354FE1" w14:paraId="3CEC901C" w14:textId="0A2AAA94">
            <w:pPr>
              <w:rPr>
                <w:sz w:val="20"/>
                <w:szCs w:val="20"/>
              </w:rPr>
            </w:pPr>
            <w:r w:rsidRPr="1CD27BE7">
              <w:rPr>
                <w:sz w:val="20"/>
                <w:szCs w:val="20"/>
              </w:rPr>
              <w:t>SBCTC Policy Manual</w:t>
            </w:r>
          </w:p>
        </w:tc>
        <w:tc>
          <w:tcPr>
            <w:tcW w:w="4892" w:type="dxa"/>
            <w:tcMar/>
          </w:tcPr>
          <w:p w:rsidR="591F3472" w:rsidP="591F3472" w:rsidRDefault="0CFA5099" w14:paraId="35FB681C" w14:textId="6D23AA83">
            <w:pPr>
              <w:rPr>
                <w:sz w:val="20"/>
                <w:szCs w:val="20"/>
              </w:rPr>
            </w:pPr>
            <w:r w:rsidRPr="0CFA5099">
              <w:rPr>
                <w:sz w:val="20"/>
                <w:szCs w:val="20"/>
              </w:rPr>
              <w:t xml:space="preserve">CBEN resources </w:t>
            </w:r>
            <w:r w:rsidRPr="4EC98C98" w:rsidR="4EC98C98">
              <w:rPr>
                <w:sz w:val="20"/>
                <w:szCs w:val="20"/>
              </w:rPr>
              <w:t>provide framing</w:t>
            </w:r>
            <w:r w:rsidRPr="0323676D" w:rsidR="0323676D">
              <w:rPr>
                <w:sz w:val="20"/>
                <w:szCs w:val="20"/>
              </w:rPr>
              <w:t>.</w:t>
            </w:r>
          </w:p>
          <w:p w:rsidR="5898ECC3" w:rsidP="5898ECC3" w:rsidRDefault="3D5B497C" w14:paraId="5649F54C" w14:textId="7AB882F5">
            <w:pPr>
              <w:rPr>
                <w:sz w:val="20"/>
                <w:szCs w:val="20"/>
              </w:rPr>
            </w:pPr>
            <w:r w:rsidRPr="3D5B497C">
              <w:rPr>
                <w:sz w:val="20"/>
                <w:szCs w:val="20"/>
              </w:rPr>
              <w:t>NWCCU</w:t>
            </w:r>
            <w:r w:rsidRPr="7579396F" w:rsidR="7579396F">
              <w:rPr>
                <w:sz w:val="20"/>
                <w:szCs w:val="20"/>
              </w:rPr>
              <w:t xml:space="preserve"> </w:t>
            </w:r>
            <w:r w:rsidRPr="0CBD3BFE" w:rsidR="0CBD3BFE">
              <w:rPr>
                <w:sz w:val="20"/>
                <w:szCs w:val="20"/>
              </w:rPr>
              <w:t>definition</w:t>
            </w:r>
            <w:r w:rsidRPr="3CBEFDF3" w:rsidR="3CBEFDF3">
              <w:rPr>
                <w:sz w:val="20"/>
                <w:szCs w:val="20"/>
              </w:rPr>
              <w:t>.</w:t>
            </w:r>
          </w:p>
          <w:p w:rsidR="705C3D9D" w:rsidP="705C3D9D" w:rsidRDefault="705C3D9D" w14:paraId="7C23E180" w14:textId="01F4E896">
            <w:pPr>
              <w:rPr>
                <w:sz w:val="20"/>
                <w:szCs w:val="20"/>
              </w:rPr>
            </w:pPr>
          </w:p>
          <w:p w:rsidR="3414E627" w:rsidP="3414E627" w:rsidRDefault="28CE7060" w14:paraId="640195D0" w14:textId="054E70B7">
            <w:pPr>
              <w:rPr>
                <w:sz w:val="20"/>
                <w:szCs w:val="20"/>
              </w:rPr>
            </w:pPr>
            <w:r w:rsidRPr="28CE7060">
              <w:rPr>
                <w:sz w:val="20"/>
                <w:szCs w:val="20"/>
              </w:rPr>
              <w:t xml:space="preserve">Operationalize </w:t>
            </w:r>
            <w:r w:rsidRPr="705C3D9D" w:rsidR="705C3D9D">
              <w:rPr>
                <w:sz w:val="20"/>
                <w:szCs w:val="20"/>
              </w:rPr>
              <w:t>using this manual:</w:t>
            </w:r>
          </w:p>
          <w:p w:rsidR="1CD27BE7" w:rsidP="1CD27BE7" w:rsidRDefault="4A74495F" w14:paraId="3002C562" w14:textId="119F8B7C">
            <w:pPr>
              <w:rPr>
                <w:sz w:val="20"/>
                <w:szCs w:val="20"/>
              </w:rPr>
            </w:pPr>
            <w:hyperlink r:id="rId21">
              <w:r w:rsidRPr="4A74495F">
                <w:rPr>
                  <w:rStyle w:val="Hyperlink"/>
                  <w:sz w:val="20"/>
                  <w:szCs w:val="20"/>
                </w:rPr>
                <w:t>https://sbctcedu-my.sharepoint.com/my?id=%2Fpersonal%2Fcmckinnon%5Fsbctc%5Fedu%2FDocuments%2FNon%2DCredit%20Task%20Force%2FResources%2FCompetency%2DBased%20Education%20%28CBE%29%2FCBE%20Quality%20Framework%2Epdf&amp;parent=%2Fpersonal%2Fcmckinnon%5Fsbctc%5Fedu%2FDocuments%2FNon%2DCredit%20Task%20Force%2FResources%2FCompetency%2DBased%20Education%20%28CBE%29&amp;viewid=c8ed5506%2D4ec8%2D4aa9%2D8bc4%2Dc1f6c1a30d75</w:t>
              </w:r>
            </w:hyperlink>
            <w:r w:rsidRPr="4A74495F">
              <w:rPr>
                <w:sz w:val="20"/>
                <w:szCs w:val="20"/>
              </w:rPr>
              <w:t xml:space="preserve"> </w:t>
            </w:r>
          </w:p>
        </w:tc>
      </w:tr>
      <w:tr w:rsidR="1CD27BE7" w:rsidTr="68229EA2" w14:paraId="112894A8" w14:textId="77777777">
        <w:trPr>
          <w:trHeight w:val="300"/>
        </w:trPr>
        <w:tc>
          <w:tcPr>
            <w:tcW w:w="1785" w:type="dxa"/>
            <w:tcMar/>
          </w:tcPr>
          <w:p w:rsidR="2FFB2AE5" w:rsidP="1CD27BE7" w:rsidRDefault="2FFB2AE5" w14:paraId="65A1BD4F" w14:textId="3ED9838F">
            <w:pPr>
              <w:rPr>
                <w:sz w:val="20"/>
                <w:szCs w:val="20"/>
              </w:rPr>
            </w:pPr>
            <w:r w:rsidRPr="1CD27BE7">
              <w:rPr>
                <w:sz w:val="20"/>
                <w:szCs w:val="20"/>
              </w:rPr>
              <w:t>Continuing education</w:t>
            </w:r>
          </w:p>
        </w:tc>
        <w:tc>
          <w:tcPr>
            <w:tcW w:w="5550" w:type="dxa"/>
            <w:tcMar/>
          </w:tcPr>
          <w:p w:rsidR="108C7A44" w:rsidP="1CD27BE7" w:rsidRDefault="17444F50" w14:paraId="7AABD115" w14:textId="10EF4D22">
            <w:pPr>
              <w:rPr>
                <w:sz w:val="20"/>
                <w:szCs w:val="20"/>
              </w:rPr>
            </w:pPr>
            <w:r w:rsidRPr="54FCF601">
              <w:rPr>
                <w:sz w:val="20"/>
                <w:szCs w:val="20"/>
              </w:rPr>
              <w:t xml:space="preserve">Continuing education is </w:t>
            </w:r>
            <w:r w:rsidRPr="54FCF601" w:rsidR="319716F9">
              <w:rPr>
                <w:sz w:val="20"/>
                <w:szCs w:val="20"/>
              </w:rPr>
              <w:t>an all-encompassing</w:t>
            </w:r>
            <w:r w:rsidRPr="54FCF601">
              <w:rPr>
                <w:sz w:val="20"/>
                <w:szCs w:val="20"/>
              </w:rPr>
              <w:t xml:space="preserve"> term describing formal learning activities that are </w:t>
            </w:r>
            <w:bookmarkStart w:name="_Int_NchgKxta" w:id="2"/>
            <w:r w:rsidRPr="54FCF601">
              <w:rPr>
                <w:sz w:val="20"/>
                <w:szCs w:val="20"/>
              </w:rPr>
              <w:t>generally not</w:t>
            </w:r>
            <w:bookmarkEnd w:id="2"/>
            <w:r w:rsidRPr="54FCF601">
              <w:rPr>
                <w:sz w:val="20"/>
                <w:szCs w:val="20"/>
              </w:rPr>
              <w:t xml:space="preserve"> focused on </w:t>
            </w:r>
            <w:r w:rsidRPr="54FCF601" w:rsidR="69C02445">
              <w:rPr>
                <w:sz w:val="20"/>
                <w:szCs w:val="20"/>
              </w:rPr>
              <w:t>postsecondary degree attainment</w:t>
            </w:r>
            <w:r w:rsidRPr="54FCF601">
              <w:rPr>
                <w:sz w:val="20"/>
                <w:szCs w:val="20"/>
              </w:rPr>
              <w:t>.</w:t>
            </w:r>
            <w:r w:rsidRPr="54FCF601" w:rsidR="7B7B3A64">
              <w:rPr>
                <w:sz w:val="20"/>
                <w:szCs w:val="20"/>
              </w:rPr>
              <w:t xml:space="preserve"> These learning activities typically fall into three broad categories: </w:t>
            </w:r>
          </w:p>
          <w:p w:rsidR="7B7B3A64" w:rsidP="54FCF601" w:rsidRDefault="7B7B3A64" w14:paraId="46D9AE42" w14:textId="74A19F44">
            <w:pPr>
              <w:pStyle w:val="ListParagraph"/>
              <w:numPr>
                <w:ilvl w:val="0"/>
                <w:numId w:val="1"/>
              </w:numPr>
              <w:rPr>
                <w:sz w:val="20"/>
                <w:szCs w:val="20"/>
              </w:rPr>
            </w:pPr>
            <w:r w:rsidRPr="54FCF601">
              <w:rPr>
                <w:sz w:val="20"/>
                <w:szCs w:val="20"/>
              </w:rPr>
              <w:t>Professional development</w:t>
            </w:r>
          </w:p>
          <w:p w:rsidR="7B7B3A64" w:rsidP="54FCF601" w:rsidRDefault="7B7B3A64" w14:paraId="2D4E8C32" w14:textId="7BF55ED5">
            <w:pPr>
              <w:pStyle w:val="ListParagraph"/>
              <w:numPr>
                <w:ilvl w:val="0"/>
                <w:numId w:val="1"/>
              </w:numPr>
              <w:rPr>
                <w:sz w:val="20"/>
                <w:szCs w:val="20"/>
              </w:rPr>
            </w:pPr>
            <w:r w:rsidRPr="54FCF601">
              <w:rPr>
                <w:sz w:val="20"/>
                <w:szCs w:val="20"/>
              </w:rPr>
              <w:t>Personal enrichment</w:t>
            </w:r>
          </w:p>
          <w:p w:rsidR="7B7B3A64" w:rsidP="54FCF601" w:rsidRDefault="7B7B3A64" w14:paraId="3935BA6B" w14:textId="7094673E">
            <w:pPr>
              <w:pStyle w:val="ListParagraph"/>
              <w:numPr>
                <w:ilvl w:val="0"/>
                <w:numId w:val="1"/>
              </w:numPr>
              <w:rPr>
                <w:sz w:val="20"/>
                <w:szCs w:val="20"/>
              </w:rPr>
            </w:pPr>
            <w:r w:rsidRPr="54FCF601">
              <w:rPr>
                <w:sz w:val="20"/>
                <w:szCs w:val="20"/>
              </w:rPr>
              <w:t>Contract/corporate training.</w:t>
            </w:r>
          </w:p>
          <w:p w:rsidR="1CD27BE7" w:rsidP="1CD27BE7" w:rsidRDefault="1CD27BE7" w14:paraId="1F4F2E3F" w14:textId="23A07C71">
            <w:pPr>
              <w:rPr>
                <w:sz w:val="20"/>
                <w:szCs w:val="20"/>
              </w:rPr>
            </w:pPr>
          </w:p>
          <w:p w:rsidR="57B6D8A4" w:rsidP="54FCF601" w:rsidRDefault="766B16E3" w14:paraId="3F327065" w14:textId="6E9E193C">
            <w:pPr>
              <w:rPr>
                <w:sz w:val="20"/>
                <w:szCs w:val="20"/>
              </w:rPr>
            </w:pPr>
            <w:r w:rsidRPr="54FCF601">
              <w:rPr>
                <w:sz w:val="20"/>
                <w:szCs w:val="20"/>
              </w:rPr>
              <w:t>Continuing education is a department model determined by the college that includes the non-credit, non-tuition side of the post-secondary adult education and classes and programs for other learners.</w:t>
            </w:r>
          </w:p>
        </w:tc>
        <w:tc>
          <w:tcPr>
            <w:tcW w:w="2235" w:type="dxa"/>
            <w:tcMar/>
          </w:tcPr>
          <w:p w:rsidR="2C372DBB" w:rsidP="1CD27BE7" w:rsidRDefault="2C372DBB" w14:paraId="000D706D" w14:textId="095D508D">
            <w:pPr>
              <w:rPr>
                <w:sz w:val="20"/>
                <w:szCs w:val="20"/>
              </w:rPr>
            </w:pPr>
            <w:r w:rsidRPr="1CD27BE7">
              <w:rPr>
                <w:sz w:val="20"/>
                <w:szCs w:val="20"/>
              </w:rPr>
              <w:t xml:space="preserve">SBCTC </w:t>
            </w:r>
            <w:hyperlink r:id="rId22">
              <w:r w:rsidRPr="1CD27BE7">
                <w:rPr>
                  <w:rStyle w:val="Hyperlink"/>
                  <w:color w:val="auto"/>
                  <w:sz w:val="20"/>
                  <w:szCs w:val="20"/>
                </w:rPr>
                <w:t>Continuing Education Coding Manual</w:t>
              </w:r>
            </w:hyperlink>
          </w:p>
          <w:p w:rsidR="1CD27BE7" w:rsidP="1CD27BE7" w:rsidRDefault="1CD27BE7" w14:paraId="4203902D" w14:textId="5ADED166">
            <w:pPr>
              <w:rPr>
                <w:sz w:val="20"/>
                <w:szCs w:val="20"/>
              </w:rPr>
            </w:pPr>
          </w:p>
          <w:p w:rsidR="57B6D8A4" w:rsidP="1CD27BE7" w:rsidRDefault="57B6D8A4" w14:paraId="504C4E51" w14:textId="7CF82715">
            <w:pPr>
              <w:rPr>
                <w:sz w:val="20"/>
                <w:szCs w:val="20"/>
              </w:rPr>
            </w:pPr>
            <w:r w:rsidRPr="1CD27BE7">
              <w:rPr>
                <w:sz w:val="20"/>
                <w:szCs w:val="20"/>
              </w:rPr>
              <w:t>State Board Policy Manual, Chapter 4.90</w:t>
            </w:r>
          </w:p>
        </w:tc>
        <w:tc>
          <w:tcPr>
            <w:tcW w:w="4892" w:type="dxa"/>
            <w:tcMar/>
          </w:tcPr>
          <w:p w:rsidR="5746D3F1" w:rsidP="1CD27BE7" w:rsidRDefault="5746D3F1" w14:paraId="3DC64111" w14:textId="21008F5E">
            <w:pPr>
              <w:rPr>
                <w:sz w:val="20"/>
                <w:szCs w:val="20"/>
              </w:rPr>
            </w:pPr>
            <w:r w:rsidRPr="1CD27BE7">
              <w:rPr>
                <w:sz w:val="20"/>
                <w:szCs w:val="20"/>
              </w:rPr>
              <w:t>“Continuing education” is used to describe</w:t>
            </w:r>
            <w:r w:rsidRPr="1CD27BE7" w:rsidR="1F79A929">
              <w:rPr>
                <w:sz w:val="20"/>
                <w:szCs w:val="20"/>
              </w:rPr>
              <w:t xml:space="preserve"> both</w:t>
            </w:r>
            <w:r w:rsidRPr="1CD27BE7">
              <w:rPr>
                <w:sz w:val="20"/>
                <w:szCs w:val="20"/>
              </w:rPr>
              <w:t xml:space="preserve"> instructional offerings and function</w:t>
            </w:r>
            <w:r w:rsidRPr="1CD27BE7" w:rsidR="4953791A">
              <w:rPr>
                <w:sz w:val="20"/>
                <w:szCs w:val="20"/>
              </w:rPr>
              <w:t>al areas of colleges (e.g., departments)</w:t>
            </w:r>
            <w:r w:rsidRPr="1CD27BE7">
              <w:rPr>
                <w:sz w:val="20"/>
                <w:szCs w:val="20"/>
              </w:rPr>
              <w:t>.</w:t>
            </w:r>
            <w:r w:rsidRPr="1CD27BE7" w:rsidR="4FE68066">
              <w:rPr>
                <w:sz w:val="20"/>
                <w:szCs w:val="20"/>
              </w:rPr>
              <w:t xml:space="preserve"> </w:t>
            </w:r>
          </w:p>
          <w:p w:rsidR="1CD27BE7" w:rsidP="1CD27BE7" w:rsidRDefault="1CD27BE7" w14:paraId="62D20A3D" w14:textId="4D405161">
            <w:pPr>
              <w:rPr>
                <w:sz w:val="20"/>
                <w:szCs w:val="20"/>
              </w:rPr>
            </w:pPr>
          </w:p>
          <w:p w:rsidR="3AA08BA8" w:rsidP="746BA264" w:rsidRDefault="3AA08BA8" w14:paraId="3379E947" w14:textId="0A51D06E">
            <w:pPr>
              <w:rPr>
                <w:sz w:val="20"/>
                <w:szCs w:val="20"/>
              </w:rPr>
            </w:pPr>
            <w:r w:rsidRPr="1CD27BE7">
              <w:rPr>
                <w:sz w:val="20"/>
                <w:szCs w:val="20"/>
              </w:rPr>
              <w:t xml:space="preserve">In the for enrollment tracking purposes in the ctcLink environment, </w:t>
            </w:r>
            <w:r w:rsidRPr="1CD27BE7" w:rsidR="79F140FF">
              <w:rPr>
                <w:sz w:val="20"/>
                <w:szCs w:val="20"/>
              </w:rPr>
              <w:t>“</w:t>
            </w:r>
            <w:r w:rsidRPr="1CD27BE7">
              <w:rPr>
                <w:sz w:val="20"/>
                <w:szCs w:val="20"/>
              </w:rPr>
              <w:t>continuing education</w:t>
            </w:r>
            <w:r w:rsidRPr="1CD27BE7" w:rsidR="4C610077">
              <w:rPr>
                <w:sz w:val="20"/>
                <w:szCs w:val="20"/>
              </w:rPr>
              <w:t>”</w:t>
            </w:r>
            <w:r w:rsidRPr="1CD27BE7">
              <w:rPr>
                <w:sz w:val="20"/>
                <w:szCs w:val="20"/>
              </w:rPr>
              <w:t xml:space="preserve"> is defined as including credit bearing </w:t>
            </w:r>
            <w:r w:rsidRPr="1CD27BE7" w:rsidR="5FF7203D">
              <w:rPr>
                <w:sz w:val="20"/>
                <w:szCs w:val="20"/>
              </w:rPr>
              <w:t xml:space="preserve">courses administered by college continuing education departments (and must be in the UGRD career) and non-credit courses offered by continuing education departments, inclusive of </w:t>
            </w:r>
            <w:r w:rsidRPr="1CD27BE7" w:rsidR="009C912F">
              <w:rPr>
                <w:sz w:val="20"/>
                <w:szCs w:val="20"/>
              </w:rPr>
              <w:t xml:space="preserve">vocational, contract training, corporate training, and personal enrichment courses. </w:t>
            </w:r>
            <w:r w:rsidRPr="1CD27BE7">
              <w:rPr>
                <w:sz w:val="20"/>
                <w:szCs w:val="20"/>
              </w:rPr>
              <w:t xml:space="preserve"> </w:t>
            </w:r>
          </w:p>
          <w:p w:rsidR="3AA08BA8" w:rsidP="7D8A4F5D" w:rsidRDefault="3AA08BA8" w14:paraId="7C5FFF00" w14:textId="56ADF82A">
            <w:pPr>
              <w:rPr>
                <w:sz w:val="20"/>
                <w:szCs w:val="20"/>
              </w:rPr>
            </w:pPr>
          </w:p>
          <w:p w:rsidR="3AA08BA8" w:rsidP="0B1E7895" w:rsidRDefault="3A7B3A40" w14:paraId="67550DCD" w14:textId="63DF1480">
            <w:pPr>
              <w:rPr>
                <w:sz w:val="20"/>
                <w:szCs w:val="20"/>
                <w:highlight w:val="yellow"/>
              </w:rPr>
            </w:pPr>
            <w:r w:rsidRPr="68229EA2" w:rsidR="68229EA2">
              <w:rPr>
                <w:sz w:val="20"/>
                <w:szCs w:val="20"/>
                <w:highlight w:val="yellow"/>
              </w:rPr>
              <w:t>Discussion Point: Come back to defining CE as we do our work. Implications for federal funding, etc.</w:t>
            </w:r>
            <w:r w:rsidRPr="68229EA2" w:rsidR="68229EA2">
              <w:rPr>
                <w:sz w:val="20"/>
                <w:szCs w:val="20"/>
              </w:rPr>
              <w:t xml:space="preserve"> </w:t>
            </w:r>
          </w:p>
          <w:p w:rsidR="3AA08BA8" w:rsidP="1CD27BE7" w:rsidRDefault="3AA08BA8" w14:paraId="51338435" w14:textId="100EC3AD">
            <w:pPr>
              <w:rPr>
                <w:sz w:val="20"/>
                <w:szCs w:val="20"/>
              </w:rPr>
            </w:pPr>
          </w:p>
        </w:tc>
      </w:tr>
      <w:tr w:rsidR="1CD27BE7" w:rsidTr="68229EA2" w14:paraId="07DC4BBB" w14:textId="77777777">
        <w:trPr>
          <w:trHeight w:val="3285"/>
        </w:trPr>
        <w:tc>
          <w:tcPr>
            <w:tcW w:w="1785" w:type="dxa"/>
            <w:tcMar/>
          </w:tcPr>
          <w:p w:rsidR="292205D2" w:rsidP="1CD27BE7" w:rsidRDefault="292205D2" w14:paraId="2A203E7A" w14:textId="702AE885">
            <w:pPr>
              <w:rPr>
                <w:sz w:val="20"/>
                <w:szCs w:val="20"/>
              </w:rPr>
            </w:pPr>
            <w:r w:rsidRPr="1CD27BE7">
              <w:rPr>
                <w:sz w:val="20"/>
                <w:szCs w:val="20"/>
              </w:rPr>
              <w:t>Contract training</w:t>
            </w:r>
          </w:p>
        </w:tc>
        <w:tc>
          <w:tcPr>
            <w:tcW w:w="5550" w:type="dxa"/>
            <w:tcMar/>
          </w:tcPr>
          <w:p w:rsidR="3C3581CA" w:rsidP="1CD27BE7" w:rsidRDefault="2BF15010" w14:paraId="1E4D084C" w14:textId="0B964B91">
            <w:pPr>
              <w:rPr>
                <w:sz w:val="20"/>
                <w:szCs w:val="20"/>
              </w:rPr>
            </w:pPr>
            <w:r w:rsidRPr="73C9BED2">
              <w:rPr>
                <w:sz w:val="20"/>
                <w:szCs w:val="20"/>
              </w:rPr>
              <w:t xml:space="preserve">Contract training encompasses occupational, </w:t>
            </w:r>
            <w:r w:rsidRPr="73C9BED2" w:rsidR="7BEB711F">
              <w:rPr>
                <w:sz w:val="20"/>
                <w:szCs w:val="20"/>
              </w:rPr>
              <w:t>professional,</w:t>
            </w:r>
            <w:r w:rsidRPr="73C9BED2" w:rsidR="547778A1">
              <w:rPr>
                <w:sz w:val="20"/>
                <w:szCs w:val="20"/>
              </w:rPr>
              <w:t xml:space="preserve"> or technical skills</w:t>
            </w:r>
            <w:r w:rsidRPr="73C9BED2">
              <w:rPr>
                <w:sz w:val="20"/>
                <w:szCs w:val="20"/>
              </w:rPr>
              <w:t xml:space="preserve"> training provided to a business, </w:t>
            </w:r>
            <w:r w:rsidRPr="73C9BED2" w:rsidR="5B0E1555">
              <w:rPr>
                <w:sz w:val="20"/>
                <w:szCs w:val="20"/>
              </w:rPr>
              <w:t>organization,</w:t>
            </w:r>
            <w:r w:rsidRPr="73C9BED2">
              <w:rPr>
                <w:sz w:val="20"/>
                <w:szCs w:val="20"/>
              </w:rPr>
              <w:t xml:space="preserve"> </w:t>
            </w:r>
            <w:r w:rsidRPr="73C9BED2" w:rsidR="7E9B4C65">
              <w:rPr>
                <w:sz w:val="20"/>
                <w:szCs w:val="20"/>
              </w:rPr>
              <w:t xml:space="preserve">agency, association </w:t>
            </w:r>
            <w:r w:rsidRPr="73C9BED2">
              <w:rPr>
                <w:sz w:val="20"/>
                <w:szCs w:val="20"/>
              </w:rPr>
              <w:t>or group on a fee basis</w:t>
            </w:r>
            <w:r w:rsidRPr="73C9BED2" w:rsidR="7CFA8064">
              <w:rPr>
                <w:sz w:val="20"/>
                <w:szCs w:val="20"/>
              </w:rPr>
              <w:t xml:space="preserve"> and delivery in flexible formats to meet the customers’ specific needs. </w:t>
            </w:r>
          </w:p>
        </w:tc>
        <w:tc>
          <w:tcPr>
            <w:tcW w:w="2235" w:type="dxa"/>
            <w:tcMar/>
          </w:tcPr>
          <w:p w:rsidR="1CD27BE7" w:rsidP="1CD27BE7" w:rsidRDefault="1CD27BE7" w14:paraId="3CDF87E1" w14:textId="5618B650">
            <w:pPr>
              <w:rPr>
                <w:sz w:val="20"/>
                <w:szCs w:val="20"/>
              </w:rPr>
            </w:pPr>
          </w:p>
        </w:tc>
        <w:tc>
          <w:tcPr>
            <w:tcW w:w="4892" w:type="dxa"/>
            <w:tcMar/>
          </w:tcPr>
          <w:p w:rsidR="11E04C2D" w:rsidP="20AFDE5D" w:rsidRDefault="20AFDE5D" w14:paraId="02D55AF1" w14:textId="42EB2D84">
            <w:pPr>
              <w:rPr>
                <w:i/>
                <w:iCs/>
                <w:sz w:val="20"/>
                <w:szCs w:val="20"/>
              </w:rPr>
            </w:pPr>
            <w:r w:rsidRPr="20AFDE5D">
              <w:rPr>
                <w:i/>
                <w:iCs/>
                <w:sz w:val="20"/>
                <w:szCs w:val="20"/>
              </w:rPr>
              <w:t xml:space="preserve">This is not the same as contract funded enrollments. Not all revenue generated by this activity passes through the Continuing Education departments. </w:t>
            </w:r>
          </w:p>
          <w:p w:rsidR="1CD27BE7" w:rsidP="1CD27BE7" w:rsidRDefault="1CD27BE7" w14:paraId="75CBBC45" w14:textId="445267BD">
            <w:pPr>
              <w:rPr>
                <w:i/>
                <w:iCs/>
                <w:sz w:val="20"/>
                <w:szCs w:val="20"/>
              </w:rPr>
            </w:pPr>
          </w:p>
          <w:p w:rsidR="11E04C2D" w:rsidP="387747B4" w:rsidRDefault="387747B4" w14:paraId="6BB7054C" w14:textId="2D744250">
            <w:pPr>
              <w:rPr>
                <w:i/>
                <w:iCs/>
                <w:sz w:val="20"/>
                <w:szCs w:val="20"/>
              </w:rPr>
            </w:pPr>
            <w:r w:rsidRPr="387747B4">
              <w:rPr>
                <w:i/>
                <w:iCs/>
                <w:sz w:val="20"/>
                <w:szCs w:val="20"/>
              </w:rPr>
              <w:t>Contract classes are funded solely through grants or through contracts with a separate entity. All students in classes fully funded by grants or contracts are reported as contract enrollments, EXCEPT in the case of Basic Education for Adults classes funded with federal Workforce Innovation and Opportunity Act (WIOA) funds (these students are reported as state enrollments). Revenues from grants and contracts are recorded in the Grants and Contracts funds account. (SBCTC Policy Manual, Chapter 5.20 Determining the Funding Status of Classes and Students)</w:t>
            </w:r>
          </w:p>
          <w:p w:rsidR="11E04C2D" w:rsidP="387747B4" w:rsidRDefault="11E04C2D" w14:paraId="279AD697" w14:textId="704F0A44">
            <w:pPr>
              <w:rPr>
                <w:i/>
                <w:iCs/>
                <w:sz w:val="20"/>
                <w:szCs w:val="20"/>
              </w:rPr>
            </w:pPr>
          </w:p>
          <w:p w:rsidR="11E04C2D" w:rsidP="387747B4" w:rsidRDefault="387747B4" w14:paraId="60F04812" w14:textId="4EEE0466">
            <w:pPr>
              <w:rPr>
                <w:i/>
                <w:iCs/>
                <w:sz w:val="20"/>
                <w:szCs w:val="20"/>
                <w:highlight w:val="yellow"/>
              </w:rPr>
            </w:pPr>
            <w:r w:rsidRPr="387747B4">
              <w:rPr>
                <w:i/>
                <w:iCs/>
                <w:sz w:val="20"/>
                <w:szCs w:val="20"/>
                <w:highlight w:val="yellow"/>
              </w:rPr>
              <w:t>Add: State funding mechanisms (JSP and CTP)</w:t>
            </w:r>
          </w:p>
        </w:tc>
      </w:tr>
      <w:tr w:rsidR="1CD27BE7" w:rsidTr="68229EA2" w14:paraId="2A3ADAD5" w14:textId="77777777">
        <w:trPr>
          <w:trHeight w:val="300"/>
        </w:trPr>
        <w:tc>
          <w:tcPr>
            <w:tcW w:w="1785" w:type="dxa"/>
            <w:tcMar/>
          </w:tcPr>
          <w:p w:rsidR="5CA3E9B6" w:rsidP="1CD27BE7" w:rsidRDefault="5CA3E9B6" w14:paraId="3A35F9A2" w14:textId="6F9E0572">
            <w:pPr>
              <w:rPr>
                <w:sz w:val="20"/>
                <w:szCs w:val="20"/>
              </w:rPr>
            </w:pPr>
            <w:r w:rsidRPr="1CD27BE7">
              <w:rPr>
                <w:sz w:val="20"/>
                <w:szCs w:val="20"/>
              </w:rPr>
              <w:t>Corporate education</w:t>
            </w:r>
            <w:r w:rsidRPr="1CD27BE7" w:rsidR="292205D2">
              <w:rPr>
                <w:sz w:val="20"/>
                <w:szCs w:val="20"/>
              </w:rPr>
              <w:t>/</w:t>
            </w:r>
            <w:r w:rsidRPr="1CD27BE7" w:rsidR="45CD785E">
              <w:rPr>
                <w:sz w:val="20"/>
                <w:szCs w:val="20"/>
              </w:rPr>
              <w:t xml:space="preserve"> </w:t>
            </w:r>
            <w:r w:rsidRPr="1CD27BE7" w:rsidR="292205D2">
              <w:rPr>
                <w:sz w:val="20"/>
                <w:szCs w:val="20"/>
              </w:rPr>
              <w:t>training</w:t>
            </w:r>
          </w:p>
        </w:tc>
        <w:tc>
          <w:tcPr>
            <w:tcW w:w="5550" w:type="dxa"/>
            <w:tcMar/>
          </w:tcPr>
          <w:p w:rsidR="292205D2" w:rsidP="1CD27BE7" w:rsidRDefault="0FC9E975" w14:paraId="429B1576" w14:textId="1FE82447">
            <w:pPr>
              <w:rPr>
                <w:sz w:val="20"/>
                <w:szCs w:val="20"/>
              </w:rPr>
            </w:pPr>
            <w:r w:rsidRPr="73C9BED2">
              <w:rPr>
                <w:sz w:val="20"/>
                <w:szCs w:val="20"/>
              </w:rPr>
              <w:t xml:space="preserve">Synonymous with </w:t>
            </w:r>
            <w:r w:rsidRPr="73C9BED2" w:rsidR="30EA2663">
              <w:rPr>
                <w:sz w:val="20"/>
                <w:szCs w:val="20"/>
              </w:rPr>
              <w:t>“</w:t>
            </w:r>
            <w:r w:rsidRPr="73C9BED2">
              <w:rPr>
                <w:sz w:val="20"/>
                <w:szCs w:val="20"/>
              </w:rPr>
              <w:t>contract training.</w:t>
            </w:r>
            <w:r w:rsidRPr="73C9BED2" w:rsidR="5AA8E813">
              <w:rPr>
                <w:sz w:val="20"/>
                <w:szCs w:val="20"/>
              </w:rPr>
              <w:t>”</w:t>
            </w:r>
          </w:p>
        </w:tc>
        <w:tc>
          <w:tcPr>
            <w:tcW w:w="2235" w:type="dxa"/>
            <w:tcMar/>
          </w:tcPr>
          <w:p w:rsidR="1CD27BE7" w:rsidP="1CD27BE7" w:rsidRDefault="1CD27BE7" w14:paraId="27AFBCF9" w14:textId="4BB43423">
            <w:pPr>
              <w:rPr>
                <w:sz w:val="20"/>
                <w:szCs w:val="20"/>
              </w:rPr>
            </w:pPr>
          </w:p>
        </w:tc>
        <w:tc>
          <w:tcPr>
            <w:tcW w:w="4892" w:type="dxa"/>
            <w:tcMar/>
          </w:tcPr>
          <w:p w:rsidR="1CD27BE7" w:rsidP="1CD27BE7" w:rsidRDefault="1CD27BE7" w14:paraId="67C222ED" w14:textId="5A26E02C">
            <w:pPr>
              <w:rPr>
                <w:sz w:val="20"/>
                <w:szCs w:val="20"/>
              </w:rPr>
            </w:pPr>
          </w:p>
        </w:tc>
      </w:tr>
      <w:tr w:rsidR="1CD27BE7" w:rsidTr="68229EA2" w14:paraId="46BF9E75" w14:textId="77777777">
        <w:trPr>
          <w:trHeight w:val="300"/>
        </w:trPr>
        <w:tc>
          <w:tcPr>
            <w:tcW w:w="1785" w:type="dxa"/>
            <w:tcMar/>
          </w:tcPr>
          <w:p w:rsidR="20B6AB30" w:rsidP="1CD27BE7" w:rsidRDefault="2273085F" w14:paraId="768075F6" w14:textId="1DE4A017">
            <w:pPr>
              <w:rPr>
                <w:sz w:val="20"/>
                <w:szCs w:val="20"/>
              </w:rPr>
            </w:pPr>
            <w:r w:rsidRPr="54FCF601">
              <w:rPr>
                <w:sz w:val="20"/>
                <w:szCs w:val="20"/>
              </w:rPr>
              <w:t>Credential of value</w:t>
            </w:r>
          </w:p>
        </w:tc>
        <w:tc>
          <w:tcPr>
            <w:tcW w:w="5550" w:type="dxa"/>
            <w:tcMar/>
          </w:tcPr>
          <w:p w:rsidR="1CD27BE7" w:rsidP="73C9BED2" w:rsidRDefault="5CCF9D43" w14:paraId="3092007C" w14:textId="5AFE89DB">
            <w:pPr>
              <w:spacing w:after="220"/>
              <w:rPr>
                <w:sz w:val="20"/>
                <w:szCs w:val="20"/>
              </w:rPr>
            </w:pPr>
            <w:r w:rsidRPr="008C63B2">
              <w:rPr>
                <w:sz w:val="20"/>
                <w:szCs w:val="20"/>
              </w:rPr>
              <w:t>C</w:t>
            </w:r>
            <w:r w:rsidRPr="008C63B2" w:rsidR="311AD598">
              <w:rPr>
                <w:sz w:val="20"/>
                <w:szCs w:val="20"/>
              </w:rPr>
              <w:t>redentials of value are those that demonstrate: 1) occupational employment demand, 2) living wage employment (or stackable pathways to living wage employment), and 3) industry-validated skill competencies beyond a high school diploma.</w:t>
            </w:r>
          </w:p>
        </w:tc>
        <w:tc>
          <w:tcPr>
            <w:tcW w:w="2235" w:type="dxa"/>
            <w:tcMar/>
          </w:tcPr>
          <w:p w:rsidR="2B6403AF" w:rsidP="1CD27BE7" w:rsidRDefault="19F61EFC" w14:paraId="7A48388B" w14:textId="75CA31EE">
            <w:pPr>
              <w:rPr>
                <w:sz w:val="20"/>
                <w:szCs w:val="20"/>
              </w:rPr>
            </w:pPr>
            <w:r w:rsidRPr="73C9BED2">
              <w:rPr>
                <w:sz w:val="20"/>
                <w:szCs w:val="20"/>
              </w:rPr>
              <w:t>W</w:t>
            </w:r>
            <w:r w:rsidRPr="73C9BED2" w:rsidR="311AD598">
              <w:rPr>
                <w:sz w:val="20"/>
                <w:szCs w:val="20"/>
              </w:rPr>
              <w:t>ashington Credentials of Value Institute Report, Oct. 2020.</w:t>
            </w:r>
          </w:p>
        </w:tc>
        <w:tc>
          <w:tcPr>
            <w:tcW w:w="4892" w:type="dxa"/>
            <w:tcMar/>
          </w:tcPr>
          <w:p w:rsidR="1CD27BE7" w:rsidP="1CD27BE7" w:rsidRDefault="224B1865" w14:paraId="2A1C026D" w14:textId="2316DBE7">
            <w:pPr>
              <w:rPr>
                <w:sz w:val="20"/>
                <w:szCs w:val="20"/>
              </w:rPr>
            </w:pPr>
            <w:r w:rsidRPr="54FCF601">
              <w:rPr>
                <w:sz w:val="20"/>
                <w:szCs w:val="20"/>
              </w:rPr>
              <w:t xml:space="preserve">“Credentials of Value” is not an official or codified term in Washington State higher education </w:t>
            </w:r>
            <w:r w:rsidRPr="54FCF601" w:rsidR="1506F90F">
              <w:rPr>
                <w:sz w:val="20"/>
                <w:szCs w:val="20"/>
              </w:rPr>
              <w:t>currently</w:t>
            </w:r>
            <w:r w:rsidRPr="54FCF601">
              <w:rPr>
                <w:sz w:val="20"/>
                <w:szCs w:val="20"/>
              </w:rPr>
              <w:t xml:space="preserve">. It is a concept of interest to philanthropic funders, think tanks, </w:t>
            </w:r>
            <w:r w:rsidRPr="54FCF601" w:rsidR="336C0D0D">
              <w:rPr>
                <w:sz w:val="20"/>
                <w:szCs w:val="20"/>
              </w:rPr>
              <w:t xml:space="preserve">workforce development </w:t>
            </w:r>
            <w:r w:rsidRPr="54FCF601" w:rsidR="498DF300">
              <w:rPr>
                <w:sz w:val="20"/>
                <w:szCs w:val="20"/>
              </w:rPr>
              <w:t>advocates,</w:t>
            </w:r>
            <w:r w:rsidRPr="54FCF601" w:rsidR="336C0D0D">
              <w:rPr>
                <w:sz w:val="20"/>
                <w:szCs w:val="20"/>
              </w:rPr>
              <w:t xml:space="preserve"> and others. </w:t>
            </w:r>
          </w:p>
        </w:tc>
      </w:tr>
      <w:tr w:rsidR="1CD27BE7" w:rsidTr="68229EA2" w14:paraId="5299CCC5" w14:textId="77777777">
        <w:trPr>
          <w:trHeight w:val="300"/>
        </w:trPr>
        <w:tc>
          <w:tcPr>
            <w:tcW w:w="1785" w:type="dxa"/>
            <w:tcMar/>
          </w:tcPr>
          <w:p w:rsidR="31CEADE7" w:rsidP="1CD27BE7" w:rsidRDefault="31CEADE7" w14:paraId="27D5DE96" w14:textId="50112E84">
            <w:pPr>
              <w:rPr>
                <w:sz w:val="20"/>
                <w:szCs w:val="20"/>
              </w:rPr>
            </w:pPr>
            <w:r w:rsidRPr="1CD27BE7">
              <w:rPr>
                <w:sz w:val="20"/>
                <w:szCs w:val="20"/>
              </w:rPr>
              <w:t>Credentials</w:t>
            </w:r>
          </w:p>
        </w:tc>
        <w:tc>
          <w:tcPr>
            <w:tcW w:w="5550" w:type="dxa"/>
            <w:tcMar/>
          </w:tcPr>
          <w:p w:rsidR="7075F32E" w:rsidP="1CD27BE7" w:rsidRDefault="7075F32E" w14:paraId="545B02C0" w14:textId="2ED24A15">
            <w:pPr>
              <w:rPr>
                <w:sz w:val="20"/>
                <w:szCs w:val="20"/>
              </w:rPr>
            </w:pPr>
            <w:r w:rsidRPr="1CD27BE7">
              <w:rPr>
                <w:sz w:val="20"/>
                <w:szCs w:val="20"/>
              </w:rPr>
              <w:t>(1) A certificate stating that the student has been graduated from a certain curriculum or has passed certain subjects; (2) a statement signed by proper authority certifying that a person is authorized to perform certain functions or has been designated as an official representative; (3) a detailed record of an applicant for a position, usually including transcripts of academic records and testimonials relative to previous experience, performance, and character; (4) the confidential file of an applicant sent to prospective employers.</w:t>
            </w:r>
          </w:p>
        </w:tc>
        <w:tc>
          <w:tcPr>
            <w:tcW w:w="2235" w:type="dxa"/>
            <w:tcMar/>
          </w:tcPr>
          <w:p w:rsidR="03AAD395" w:rsidP="1CD27BE7" w:rsidRDefault="03AAD395" w14:paraId="6F0C6D92" w14:textId="288AC894">
            <w:pPr>
              <w:rPr>
                <w:sz w:val="20"/>
                <w:szCs w:val="20"/>
              </w:rPr>
            </w:pPr>
            <w:r w:rsidRPr="1CD27BE7">
              <w:rPr>
                <w:sz w:val="20"/>
                <w:szCs w:val="20"/>
              </w:rPr>
              <w:t>NWCCU glossary</w:t>
            </w:r>
          </w:p>
        </w:tc>
        <w:tc>
          <w:tcPr>
            <w:tcW w:w="4892" w:type="dxa"/>
            <w:tcMar/>
          </w:tcPr>
          <w:p w:rsidR="739CFFC8" w:rsidP="1CD27BE7" w:rsidRDefault="739CFFC8" w14:paraId="39CCB838" w14:textId="44FBFB34">
            <w:pPr>
              <w:rPr>
                <w:sz w:val="20"/>
                <w:szCs w:val="20"/>
              </w:rPr>
            </w:pPr>
            <w:r w:rsidRPr="1CD27BE7">
              <w:rPr>
                <w:sz w:val="20"/>
                <w:szCs w:val="20"/>
              </w:rPr>
              <w:t xml:space="preserve">Credentials are official documents or certifications that verify an individual's qualifications, skills, and competencies in a specific field or profession. They serve as evidence of a learner’s education, training, and achievements, and are often required to gain employment, advance in a career, or meet industry standards. Credentials can include diplomas, degrees, certificates, licenses, and badges, and are issued by educational institutions, professional organizations, or regulatory bodies. </w:t>
            </w:r>
          </w:p>
          <w:p w:rsidR="1CD27BE7" w:rsidP="1CD27BE7" w:rsidRDefault="1CD27BE7" w14:paraId="30B8EBB8" w14:textId="5151CE8A">
            <w:pPr>
              <w:rPr>
                <w:sz w:val="20"/>
                <w:szCs w:val="20"/>
              </w:rPr>
            </w:pPr>
          </w:p>
          <w:p w:rsidR="739CFFC8" w:rsidP="1CD27BE7" w:rsidRDefault="739CFFC8" w14:paraId="464FCA74" w14:textId="685B22BE">
            <w:pPr>
              <w:rPr>
                <w:sz w:val="20"/>
                <w:szCs w:val="20"/>
              </w:rPr>
            </w:pPr>
            <w:hyperlink r:id="rId23">
              <w:r w:rsidRPr="1CD27BE7">
                <w:rPr>
                  <w:rStyle w:val="Hyperlink"/>
                  <w:color w:val="auto"/>
                  <w:sz w:val="20"/>
                  <w:szCs w:val="20"/>
                </w:rPr>
                <w:t>SBCTC Draft Working Definitions for Micro-credentials and Micro-pathways</w:t>
              </w:r>
            </w:hyperlink>
          </w:p>
          <w:p w:rsidR="1CD27BE7" w:rsidP="1CD27BE7" w:rsidRDefault="1CD27BE7" w14:paraId="13407868" w14:textId="0055A7EC">
            <w:pPr>
              <w:rPr>
                <w:sz w:val="20"/>
                <w:szCs w:val="20"/>
              </w:rPr>
            </w:pPr>
          </w:p>
        </w:tc>
      </w:tr>
      <w:tr w:rsidR="1CD27BE7" w:rsidTr="68229EA2" w14:paraId="5C94432E" w14:textId="77777777">
        <w:trPr>
          <w:trHeight w:val="300"/>
        </w:trPr>
        <w:tc>
          <w:tcPr>
            <w:tcW w:w="1785" w:type="dxa"/>
            <w:tcMar/>
          </w:tcPr>
          <w:p w:rsidR="2FFB2AE5" w:rsidP="1CD27BE7" w:rsidRDefault="2FFB2AE5" w14:paraId="7C8B6E98" w14:textId="4ABFF2CB">
            <w:pPr>
              <w:rPr>
                <w:sz w:val="20"/>
                <w:szCs w:val="20"/>
              </w:rPr>
            </w:pPr>
            <w:r w:rsidRPr="1CD27BE7">
              <w:rPr>
                <w:sz w:val="20"/>
                <w:szCs w:val="20"/>
              </w:rPr>
              <w:t>Credit articulation</w:t>
            </w:r>
          </w:p>
        </w:tc>
        <w:tc>
          <w:tcPr>
            <w:tcW w:w="5550" w:type="dxa"/>
            <w:tcMar/>
          </w:tcPr>
          <w:p w:rsidR="6E4CE9BB" w:rsidP="1CD27BE7" w:rsidRDefault="3BEDB3EB" w14:paraId="5CBB651A" w14:textId="43CA2A30">
            <w:pPr>
              <w:rPr>
                <w:sz w:val="20"/>
                <w:szCs w:val="20"/>
              </w:rPr>
            </w:pPr>
            <w:r w:rsidRPr="54FCF601">
              <w:rPr>
                <w:sz w:val="20"/>
                <w:szCs w:val="20"/>
              </w:rPr>
              <w:t>Credit articulation is the formal process of establishing an agreement between educational institutions (such as a high school and a community college, or a community college and a four-year university) that ensures courses</w:t>
            </w:r>
            <w:r w:rsidRPr="54FCF601" w:rsidR="40CD2E55">
              <w:rPr>
                <w:sz w:val="20"/>
                <w:szCs w:val="20"/>
              </w:rPr>
              <w:t xml:space="preserve"> and/or credentials</w:t>
            </w:r>
            <w:r w:rsidRPr="54FCF601">
              <w:rPr>
                <w:sz w:val="20"/>
                <w:szCs w:val="20"/>
              </w:rPr>
              <w:t xml:space="preserve"> completed at one institution will be accepted for specific credit at the other</w:t>
            </w:r>
            <w:r w:rsidRPr="54FCF601" w:rsidR="5B4F2A80">
              <w:rPr>
                <w:sz w:val="20"/>
                <w:szCs w:val="20"/>
              </w:rPr>
              <w:t xml:space="preserve">. </w:t>
            </w:r>
          </w:p>
        </w:tc>
        <w:tc>
          <w:tcPr>
            <w:tcW w:w="2235" w:type="dxa"/>
            <w:tcMar/>
          </w:tcPr>
          <w:p w:rsidR="6E4CE9BB" w:rsidP="1CD27BE7" w:rsidRDefault="3BEDB3EB" w14:paraId="1E51F5BD" w14:textId="4ECC522E">
            <w:pPr>
              <w:rPr>
                <w:sz w:val="20"/>
                <w:szCs w:val="20"/>
              </w:rPr>
            </w:pPr>
            <w:r w:rsidRPr="73C9BED2">
              <w:rPr>
                <w:sz w:val="20"/>
                <w:szCs w:val="20"/>
              </w:rPr>
              <w:t>Compiled from various sources, including:</w:t>
            </w:r>
          </w:p>
          <w:p w:rsidR="6E4CE9BB" w:rsidP="1CD27BE7" w:rsidRDefault="6E4CE9BB" w14:paraId="2294EFDF" w14:textId="2B9B34D2">
            <w:pPr>
              <w:rPr>
                <w:sz w:val="20"/>
                <w:szCs w:val="20"/>
              </w:rPr>
            </w:pPr>
            <w:hyperlink r:id="rId24">
              <w:r w:rsidRPr="1CD27BE7">
                <w:rPr>
                  <w:rStyle w:val="Hyperlink"/>
                  <w:color w:val="auto"/>
                  <w:sz w:val="20"/>
                  <w:szCs w:val="20"/>
                </w:rPr>
                <w:t>Guidelines for Articulation Using Direct Transcription Method</w:t>
              </w:r>
            </w:hyperlink>
            <w:r w:rsidRPr="1CD27BE7">
              <w:rPr>
                <w:sz w:val="20"/>
                <w:szCs w:val="20"/>
              </w:rPr>
              <w:t xml:space="preserve"> (SBCTC)</w:t>
            </w:r>
          </w:p>
        </w:tc>
        <w:tc>
          <w:tcPr>
            <w:tcW w:w="4892" w:type="dxa"/>
            <w:tcMar/>
          </w:tcPr>
          <w:p w:rsidR="1CD27BE7" w:rsidP="1CD27BE7" w:rsidRDefault="1CD27BE7" w14:paraId="34D7F419" w14:textId="5D3F4442">
            <w:pPr>
              <w:rPr>
                <w:sz w:val="20"/>
                <w:szCs w:val="20"/>
              </w:rPr>
            </w:pPr>
          </w:p>
        </w:tc>
      </w:tr>
      <w:tr w:rsidR="1CD27BE7" w:rsidTr="68229EA2" w14:paraId="7BB636AB" w14:textId="77777777">
        <w:trPr>
          <w:trHeight w:val="300"/>
        </w:trPr>
        <w:tc>
          <w:tcPr>
            <w:tcW w:w="1785" w:type="dxa"/>
            <w:tcMar/>
          </w:tcPr>
          <w:p w:rsidR="2FFB2AE5" w:rsidP="1CD27BE7" w:rsidRDefault="2FFB2AE5" w14:paraId="5A4BFE70" w14:textId="682291F9">
            <w:pPr>
              <w:rPr>
                <w:sz w:val="20"/>
                <w:szCs w:val="20"/>
              </w:rPr>
            </w:pPr>
            <w:r w:rsidRPr="1CD27BE7">
              <w:rPr>
                <w:sz w:val="20"/>
                <w:szCs w:val="20"/>
              </w:rPr>
              <w:t>Credit for prior learning</w:t>
            </w:r>
          </w:p>
        </w:tc>
        <w:tc>
          <w:tcPr>
            <w:tcW w:w="5550" w:type="dxa"/>
            <w:tcMar/>
          </w:tcPr>
          <w:p w:rsidR="0FEDE1C2" w:rsidP="1CD27BE7" w:rsidRDefault="22775158" w14:paraId="49050688" w14:textId="53A00482">
            <w:pPr>
              <w:rPr>
                <w:sz w:val="20"/>
                <w:szCs w:val="20"/>
              </w:rPr>
            </w:pPr>
            <w:r w:rsidRPr="73C9BED2">
              <w:rPr>
                <w:sz w:val="20"/>
                <w:szCs w:val="20"/>
              </w:rPr>
              <w:t>See “academic credit for prior learning</w:t>
            </w:r>
            <w:r w:rsidRPr="73C9BED2" w:rsidR="69112F1E">
              <w:rPr>
                <w:sz w:val="20"/>
                <w:szCs w:val="20"/>
              </w:rPr>
              <w:t>.</w:t>
            </w:r>
            <w:r w:rsidRPr="73C9BED2">
              <w:rPr>
                <w:sz w:val="20"/>
                <w:szCs w:val="20"/>
              </w:rPr>
              <w:t>”</w:t>
            </w:r>
          </w:p>
        </w:tc>
        <w:tc>
          <w:tcPr>
            <w:tcW w:w="2235" w:type="dxa"/>
            <w:tcMar/>
          </w:tcPr>
          <w:p w:rsidR="1CD27BE7" w:rsidP="1CD27BE7" w:rsidRDefault="1CD27BE7" w14:paraId="448226D3" w14:textId="2AF08373">
            <w:pPr>
              <w:rPr>
                <w:sz w:val="20"/>
                <w:szCs w:val="20"/>
              </w:rPr>
            </w:pPr>
          </w:p>
        </w:tc>
        <w:tc>
          <w:tcPr>
            <w:tcW w:w="4892" w:type="dxa"/>
            <w:tcMar/>
          </w:tcPr>
          <w:p w:rsidR="1CD27BE7" w:rsidP="1CD27BE7" w:rsidRDefault="1CD27BE7" w14:paraId="7E9F278A" w14:textId="6E4A172B">
            <w:pPr>
              <w:rPr>
                <w:sz w:val="20"/>
                <w:szCs w:val="20"/>
              </w:rPr>
            </w:pPr>
          </w:p>
        </w:tc>
      </w:tr>
      <w:tr w:rsidR="387747B4" w:rsidTr="68229EA2" w14:paraId="3BA142B0" w14:textId="77777777">
        <w:trPr>
          <w:trHeight w:val="300"/>
        </w:trPr>
        <w:tc>
          <w:tcPr>
            <w:tcW w:w="1785" w:type="dxa"/>
            <w:tcMar/>
          </w:tcPr>
          <w:p w:rsidR="387747B4" w:rsidP="387747B4" w:rsidRDefault="387747B4" w14:paraId="580B2344" w14:textId="07C673BE">
            <w:pPr>
              <w:rPr>
                <w:sz w:val="20"/>
                <w:szCs w:val="20"/>
              </w:rPr>
            </w:pPr>
            <w:r w:rsidRPr="387747B4">
              <w:rPr>
                <w:sz w:val="20"/>
                <w:szCs w:val="20"/>
              </w:rPr>
              <w:t>Credit</w:t>
            </w:r>
          </w:p>
        </w:tc>
        <w:tc>
          <w:tcPr>
            <w:tcW w:w="5550" w:type="dxa"/>
            <w:tcMar/>
          </w:tcPr>
          <w:p w:rsidR="387747B4" w:rsidP="387747B4" w:rsidRDefault="387747B4" w14:paraId="192ECD3D" w14:textId="3D8CFBAF">
            <w:pPr>
              <w:rPr>
                <w:sz w:val="20"/>
                <w:szCs w:val="20"/>
                <w:highlight w:val="yellow"/>
              </w:rPr>
            </w:pPr>
            <w:r w:rsidRPr="387747B4">
              <w:rPr>
                <w:sz w:val="20"/>
                <w:szCs w:val="20"/>
                <w:highlight w:val="yellow"/>
              </w:rPr>
              <w:t>[define what credit is, how it is operationalized per unit, etc]</w:t>
            </w:r>
          </w:p>
        </w:tc>
        <w:tc>
          <w:tcPr>
            <w:tcW w:w="2235" w:type="dxa"/>
            <w:tcMar/>
          </w:tcPr>
          <w:p w:rsidR="387747B4" w:rsidP="387747B4" w:rsidRDefault="387747B4" w14:paraId="55905B8B" w14:textId="75C8EA42">
            <w:pPr>
              <w:rPr>
                <w:sz w:val="20"/>
                <w:szCs w:val="20"/>
              </w:rPr>
            </w:pPr>
          </w:p>
        </w:tc>
        <w:tc>
          <w:tcPr>
            <w:tcW w:w="4892" w:type="dxa"/>
            <w:tcMar/>
          </w:tcPr>
          <w:p w:rsidR="387747B4" w:rsidP="387747B4" w:rsidRDefault="387747B4" w14:paraId="38A99E17" w14:textId="4E92D660">
            <w:pPr>
              <w:rPr>
                <w:rFonts w:ascii="Montserrat" w:hAnsi="Montserrat" w:eastAsia="Montserrat" w:cs="Montserrat"/>
                <w:sz w:val="24"/>
                <w:szCs w:val="24"/>
              </w:rPr>
            </w:pPr>
          </w:p>
        </w:tc>
      </w:tr>
      <w:tr w:rsidR="1CD27BE7" w:rsidTr="68229EA2" w14:paraId="0702E2EF" w14:textId="77777777">
        <w:trPr>
          <w:trHeight w:val="300"/>
        </w:trPr>
        <w:tc>
          <w:tcPr>
            <w:tcW w:w="1785" w:type="dxa"/>
            <w:tcMar/>
          </w:tcPr>
          <w:p w:rsidR="4E0E6E74" w:rsidP="1CD27BE7" w:rsidRDefault="4E0E6E74" w14:paraId="5B3C8A01" w14:textId="692D9AA7">
            <w:pPr>
              <w:rPr>
                <w:sz w:val="20"/>
                <w:szCs w:val="20"/>
              </w:rPr>
            </w:pPr>
            <w:r w:rsidRPr="1CD27BE7">
              <w:rPr>
                <w:sz w:val="20"/>
                <w:szCs w:val="20"/>
              </w:rPr>
              <w:t>Customized training</w:t>
            </w:r>
          </w:p>
        </w:tc>
        <w:tc>
          <w:tcPr>
            <w:tcW w:w="5550" w:type="dxa"/>
            <w:tcMar/>
          </w:tcPr>
          <w:p w:rsidR="074209D3" w:rsidP="1CD27BE7" w:rsidRDefault="00D05989" w14:paraId="56F584FE" w14:textId="7DE29CB4">
            <w:pPr>
              <w:rPr>
                <w:sz w:val="20"/>
                <w:szCs w:val="20"/>
              </w:rPr>
            </w:pPr>
            <w:r w:rsidRPr="54FCF601">
              <w:rPr>
                <w:sz w:val="20"/>
                <w:szCs w:val="20"/>
              </w:rPr>
              <w:t>Customized training is s</w:t>
            </w:r>
            <w:r w:rsidRPr="54FCF601" w:rsidR="62C23091">
              <w:rPr>
                <w:sz w:val="20"/>
                <w:szCs w:val="20"/>
              </w:rPr>
              <w:t>ynonymous</w:t>
            </w:r>
            <w:r w:rsidRPr="54FCF601" w:rsidR="2D692961">
              <w:rPr>
                <w:sz w:val="20"/>
                <w:szCs w:val="20"/>
              </w:rPr>
              <w:t xml:space="preserve"> with contract training </w:t>
            </w:r>
            <w:r w:rsidRPr="54FCF601" w:rsidR="3CAA2A54">
              <w:rPr>
                <w:sz w:val="20"/>
                <w:szCs w:val="20"/>
              </w:rPr>
              <w:t>and corporate education/training</w:t>
            </w:r>
            <w:r w:rsidRPr="54FCF601" w:rsidR="2D692961">
              <w:rPr>
                <w:sz w:val="20"/>
                <w:szCs w:val="20"/>
              </w:rPr>
              <w:t xml:space="preserve">. </w:t>
            </w:r>
            <w:r w:rsidRPr="54FCF601" w:rsidR="65D1457C">
              <w:rPr>
                <w:sz w:val="20"/>
                <w:szCs w:val="20"/>
              </w:rPr>
              <w:t>It’s u</w:t>
            </w:r>
            <w:r w:rsidRPr="54FCF601" w:rsidR="2D692961">
              <w:rPr>
                <w:sz w:val="20"/>
                <w:szCs w:val="20"/>
              </w:rPr>
              <w:t>sed to emphasize the customized nature of education and training delivered to customers via contract training.</w:t>
            </w:r>
            <w:r w:rsidRPr="54FCF601" w:rsidR="509AF77E">
              <w:rPr>
                <w:sz w:val="20"/>
                <w:szCs w:val="20"/>
              </w:rPr>
              <w:t xml:space="preserve"> Sometimes also used as a generic shorthand for Washington’s state-subsidized contract training programs, Job Skills Prog</w:t>
            </w:r>
            <w:r w:rsidRPr="54FCF601" w:rsidR="232F982F">
              <w:rPr>
                <w:sz w:val="20"/>
                <w:szCs w:val="20"/>
              </w:rPr>
              <w:t xml:space="preserve">ram </w:t>
            </w:r>
            <w:r w:rsidRPr="54FCF601" w:rsidR="509AF77E">
              <w:rPr>
                <w:sz w:val="20"/>
                <w:szCs w:val="20"/>
              </w:rPr>
              <w:t>and Customized Training</w:t>
            </w:r>
            <w:r w:rsidRPr="54FCF601" w:rsidR="56368C5A">
              <w:rPr>
                <w:sz w:val="20"/>
                <w:szCs w:val="20"/>
              </w:rPr>
              <w:t xml:space="preserve"> Program</w:t>
            </w:r>
            <w:r w:rsidRPr="54FCF601" w:rsidR="509AF77E">
              <w:rPr>
                <w:sz w:val="20"/>
                <w:szCs w:val="20"/>
              </w:rPr>
              <w:t xml:space="preserve">. </w:t>
            </w:r>
          </w:p>
        </w:tc>
        <w:tc>
          <w:tcPr>
            <w:tcW w:w="2235" w:type="dxa"/>
            <w:tcMar/>
          </w:tcPr>
          <w:p w:rsidR="1CD27BE7" w:rsidP="1CD27BE7" w:rsidRDefault="1CD27BE7" w14:paraId="3CA5A5A3" w14:textId="780A50DE">
            <w:pPr>
              <w:rPr>
                <w:sz w:val="20"/>
                <w:szCs w:val="20"/>
              </w:rPr>
            </w:pPr>
          </w:p>
        </w:tc>
        <w:tc>
          <w:tcPr>
            <w:tcW w:w="4892" w:type="dxa"/>
            <w:tcMar/>
          </w:tcPr>
          <w:p w:rsidR="1CD27BE7" w:rsidP="1CD27BE7" w:rsidRDefault="1CD27BE7" w14:paraId="6989D7B5" w14:textId="4F714172">
            <w:pPr>
              <w:rPr>
                <w:rFonts w:ascii="Montserrat" w:hAnsi="Montserrat" w:eastAsia="Montserrat" w:cs="Montserrat"/>
                <w:sz w:val="24"/>
                <w:szCs w:val="24"/>
              </w:rPr>
            </w:pPr>
          </w:p>
        </w:tc>
      </w:tr>
      <w:tr w:rsidR="1CD27BE7" w:rsidTr="68229EA2" w14:paraId="4B6B7B2F" w14:textId="77777777">
        <w:trPr>
          <w:trHeight w:val="300"/>
        </w:trPr>
        <w:tc>
          <w:tcPr>
            <w:tcW w:w="1785" w:type="dxa"/>
            <w:tcMar/>
          </w:tcPr>
          <w:p w:rsidR="45FAEBB8" w:rsidP="1CD27BE7" w:rsidRDefault="45FAEBB8" w14:paraId="0C6FB2FA" w14:textId="5FF3A35A">
            <w:pPr>
              <w:rPr>
                <w:sz w:val="20"/>
                <w:szCs w:val="20"/>
              </w:rPr>
            </w:pPr>
            <w:r w:rsidRPr="1CD27BE7">
              <w:rPr>
                <w:sz w:val="20"/>
                <w:szCs w:val="20"/>
              </w:rPr>
              <w:t xml:space="preserve">Digital </w:t>
            </w:r>
            <w:r w:rsidRPr="1CD27BE7" w:rsidR="404BA184">
              <w:rPr>
                <w:sz w:val="20"/>
                <w:szCs w:val="20"/>
              </w:rPr>
              <w:t>b</w:t>
            </w:r>
            <w:r w:rsidRPr="1CD27BE7" w:rsidR="2FFB2AE5">
              <w:rPr>
                <w:sz w:val="20"/>
                <w:szCs w:val="20"/>
              </w:rPr>
              <w:t>adges</w:t>
            </w:r>
          </w:p>
        </w:tc>
        <w:tc>
          <w:tcPr>
            <w:tcW w:w="5550" w:type="dxa"/>
            <w:tcMar/>
          </w:tcPr>
          <w:p w:rsidR="0B90CB6A" w:rsidP="1CD27BE7" w:rsidRDefault="0B90CB6A" w14:paraId="4467A031" w14:textId="7FB54B7A">
            <w:pPr>
              <w:rPr>
                <w:sz w:val="20"/>
                <w:szCs w:val="20"/>
              </w:rPr>
            </w:pPr>
            <w:r w:rsidRPr="54FCF601">
              <w:rPr>
                <w:sz w:val="20"/>
                <w:szCs w:val="20"/>
              </w:rPr>
              <w:t xml:space="preserve">A </w:t>
            </w:r>
            <w:r w:rsidRPr="54FCF601" w:rsidR="06FA5671">
              <w:rPr>
                <w:sz w:val="20"/>
                <w:szCs w:val="20"/>
              </w:rPr>
              <w:t xml:space="preserve">digital </w:t>
            </w:r>
            <w:r w:rsidRPr="54FCF601">
              <w:rPr>
                <w:sz w:val="20"/>
                <w:szCs w:val="20"/>
              </w:rPr>
              <w:t>badge is a data container that is persistent, portable, shareable, verifiable, stackable, machine-readable, aligned to skills or standards, and controlled by the earner</w:t>
            </w:r>
          </w:p>
        </w:tc>
        <w:tc>
          <w:tcPr>
            <w:tcW w:w="2235" w:type="dxa"/>
            <w:tcMar/>
          </w:tcPr>
          <w:p w:rsidR="186B95CD" w:rsidP="1CD27BE7" w:rsidRDefault="186B95CD" w14:paraId="0B75261E" w14:textId="5B073548">
            <w:pPr>
              <w:rPr>
                <w:sz w:val="20"/>
                <w:szCs w:val="20"/>
              </w:rPr>
            </w:pPr>
            <w:hyperlink r:id="rId25">
              <w:r w:rsidRPr="1CD27BE7">
                <w:rPr>
                  <w:rStyle w:val="Hyperlink"/>
                  <w:color w:val="auto"/>
                  <w:sz w:val="20"/>
                  <w:szCs w:val="20"/>
                </w:rPr>
                <w:t>SBCTC Draft Working Definitions for Micro-credentials and Micro-pathways</w:t>
              </w:r>
            </w:hyperlink>
          </w:p>
          <w:p w:rsidR="1CD27BE7" w:rsidP="1CD27BE7" w:rsidRDefault="1CD27BE7" w14:paraId="65DC8AB0" w14:textId="7661E995">
            <w:pPr>
              <w:rPr>
                <w:sz w:val="20"/>
                <w:szCs w:val="20"/>
              </w:rPr>
            </w:pPr>
          </w:p>
          <w:p w:rsidR="08632240" w:rsidP="1CD27BE7" w:rsidRDefault="08632240" w14:paraId="5CFA7E01" w14:textId="7F8D9335">
            <w:pPr>
              <w:rPr>
                <w:sz w:val="20"/>
                <w:szCs w:val="20"/>
              </w:rPr>
            </w:pPr>
            <w:hyperlink w:anchor="micro-credentials-explained" r:id="rId26">
              <w:r w:rsidRPr="1CD27BE7">
                <w:rPr>
                  <w:rStyle w:val="Hyperlink"/>
                  <w:color w:val="auto"/>
                  <w:sz w:val="20"/>
                  <w:szCs w:val="20"/>
                </w:rPr>
                <w:t>Education Design Lab</w:t>
              </w:r>
            </w:hyperlink>
          </w:p>
        </w:tc>
        <w:tc>
          <w:tcPr>
            <w:tcW w:w="4892" w:type="dxa"/>
            <w:tcMar/>
          </w:tcPr>
          <w:p w:rsidR="2524EA8F" w:rsidP="1CD27BE7" w:rsidRDefault="2524EA8F" w14:paraId="5F8B92C3" w14:textId="4B063662">
            <w:pPr>
              <w:rPr>
                <w:sz w:val="20"/>
                <w:szCs w:val="20"/>
              </w:rPr>
            </w:pPr>
            <w:r w:rsidRPr="1CD27BE7">
              <w:rPr>
                <w:sz w:val="20"/>
                <w:szCs w:val="20"/>
              </w:rPr>
              <w:t>Digital badges are visual representations of a learner’s achievements that can be validated through the metadata they contain. Learners earning a micro-credential may receive a digital badge to signify the completion of a specific set of skills, knowledge, or competencies.</w:t>
            </w:r>
          </w:p>
        </w:tc>
      </w:tr>
      <w:tr w:rsidR="1CD27BE7" w:rsidTr="68229EA2" w14:paraId="06B613BC" w14:textId="77777777">
        <w:trPr>
          <w:trHeight w:val="300"/>
        </w:trPr>
        <w:tc>
          <w:tcPr>
            <w:tcW w:w="1785" w:type="dxa"/>
            <w:tcMar/>
          </w:tcPr>
          <w:p w:rsidR="2FFB2AE5" w:rsidP="1CD27BE7" w:rsidRDefault="2FFB2AE5" w14:paraId="684985C4" w14:textId="7D2E9D3D">
            <w:pPr>
              <w:rPr>
                <w:sz w:val="20"/>
                <w:szCs w:val="20"/>
              </w:rPr>
            </w:pPr>
            <w:r w:rsidRPr="1CD27BE7">
              <w:rPr>
                <w:sz w:val="20"/>
                <w:szCs w:val="20"/>
              </w:rPr>
              <w:t>Industry recognized credentials</w:t>
            </w:r>
          </w:p>
        </w:tc>
        <w:tc>
          <w:tcPr>
            <w:tcW w:w="5550" w:type="dxa"/>
            <w:tcMar/>
          </w:tcPr>
          <w:p w:rsidR="6EF36FF4" w:rsidP="1CD27BE7" w:rsidRDefault="7BB38C0D" w14:paraId="72EBE851" w14:textId="70F8139E">
            <w:pPr>
              <w:rPr>
                <w:sz w:val="20"/>
                <w:szCs w:val="20"/>
              </w:rPr>
            </w:pPr>
            <w:r w:rsidRPr="73C9BED2">
              <w:rPr>
                <w:sz w:val="20"/>
                <w:szCs w:val="20"/>
              </w:rPr>
              <w:t xml:space="preserve">Industry recognized credentials are valuable, often exam-based certifications or </w:t>
            </w:r>
            <w:r w:rsidRPr="73C9BED2" w:rsidR="02895B07">
              <w:rPr>
                <w:sz w:val="20"/>
                <w:szCs w:val="20"/>
              </w:rPr>
              <w:t>licenses,</w:t>
            </w:r>
            <w:r w:rsidRPr="73C9BED2">
              <w:rPr>
                <w:sz w:val="20"/>
                <w:szCs w:val="20"/>
              </w:rPr>
              <w:t xml:space="preserve"> verifying specific skills for employment and recognized by employers. </w:t>
            </w:r>
          </w:p>
          <w:p w:rsidR="73C9BED2" w:rsidP="73C9BED2" w:rsidRDefault="73C9BED2" w14:paraId="6CDE3BD3" w14:textId="4BC4BEFB">
            <w:pPr>
              <w:rPr>
                <w:sz w:val="20"/>
                <w:szCs w:val="20"/>
              </w:rPr>
            </w:pPr>
          </w:p>
          <w:p w:rsidR="7BFF2679" w:rsidP="73C9BED2" w:rsidRDefault="7FBF3856" w14:paraId="25F5D373" w14:textId="1F86A20B">
            <w:pPr>
              <w:rPr>
                <w:sz w:val="20"/>
                <w:szCs w:val="20"/>
              </w:rPr>
            </w:pPr>
            <w:r w:rsidRPr="54FCF601">
              <w:rPr>
                <w:sz w:val="20"/>
                <w:szCs w:val="20"/>
              </w:rPr>
              <w:t>It is a</w:t>
            </w:r>
            <w:r w:rsidRPr="54FCF601" w:rsidR="7BFF2679">
              <w:rPr>
                <w:sz w:val="20"/>
                <w:szCs w:val="20"/>
              </w:rPr>
              <w:t xml:space="preserve"> broader term associated </w:t>
            </w:r>
            <w:r w:rsidRPr="54FCF601" w:rsidR="041E5767">
              <w:rPr>
                <w:sz w:val="20"/>
                <w:szCs w:val="20"/>
              </w:rPr>
              <w:t>with industry certifications. See “non-degree credentials – industry certifications</w:t>
            </w:r>
            <w:r w:rsidRPr="54FCF601" w:rsidR="39B8EBF3">
              <w:rPr>
                <w:sz w:val="20"/>
                <w:szCs w:val="20"/>
              </w:rPr>
              <w:t>.</w:t>
            </w:r>
            <w:r w:rsidRPr="54FCF601" w:rsidR="041E5767">
              <w:rPr>
                <w:sz w:val="20"/>
                <w:szCs w:val="20"/>
              </w:rPr>
              <w:t>”</w:t>
            </w:r>
          </w:p>
          <w:p w:rsidR="1CD27BE7" w:rsidP="1CD27BE7" w:rsidRDefault="1CD27BE7" w14:paraId="7BE3D231" w14:textId="3D3E0878">
            <w:pPr>
              <w:rPr>
                <w:sz w:val="20"/>
                <w:szCs w:val="20"/>
              </w:rPr>
            </w:pPr>
          </w:p>
        </w:tc>
        <w:tc>
          <w:tcPr>
            <w:tcW w:w="2235" w:type="dxa"/>
            <w:tcMar/>
          </w:tcPr>
          <w:p w:rsidR="6EF36FF4" w:rsidP="1CD27BE7" w:rsidRDefault="6EF36FF4" w14:paraId="3D3ED8DC" w14:textId="14755B5C">
            <w:pPr>
              <w:rPr>
                <w:sz w:val="20"/>
                <w:szCs w:val="20"/>
              </w:rPr>
            </w:pPr>
            <w:r w:rsidRPr="1CD27BE7">
              <w:rPr>
                <w:sz w:val="20"/>
                <w:szCs w:val="20"/>
              </w:rPr>
              <w:t>Compilation from various sources, including:</w:t>
            </w:r>
          </w:p>
          <w:p w:rsidR="1CD27BE7" w:rsidP="1CD27BE7" w:rsidRDefault="1CD27BE7" w14:paraId="38C6A204" w14:textId="2F5C3728">
            <w:pPr>
              <w:rPr>
                <w:sz w:val="20"/>
                <w:szCs w:val="20"/>
              </w:rPr>
            </w:pPr>
          </w:p>
          <w:p w:rsidR="69EF5B87" w:rsidP="1CD27BE7" w:rsidRDefault="69EF5B87" w14:paraId="7CFEB6EA" w14:textId="0BFCBE89">
            <w:pPr>
              <w:rPr>
                <w:sz w:val="20"/>
                <w:szCs w:val="20"/>
              </w:rPr>
            </w:pPr>
            <w:hyperlink w:anchor=":~:text=Industry%2Drecognized%20credentials%20are%20nationally%20recognized%20verifications%20of,Laboratory%20Assistant%20*%20Certified%20Foodservice%20Management%20Professional" r:id="rId27">
              <w:r w:rsidRPr="1CD27BE7">
                <w:rPr>
                  <w:rStyle w:val="Hyperlink"/>
                  <w:color w:val="auto"/>
                  <w:sz w:val="20"/>
                  <w:szCs w:val="20"/>
                </w:rPr>
                <w:t>Education-to-Workforce Indicator Framework</w:t>
              </w:r>
            </w:hyperlink>
          </w:p>
          <w:p w:rsidR="1CD27BE7" w:rsidP="1CD27BE7" w:rsidRDefault="1CD27BE7" w14:paraId="62BD59B7" w14:textId="7485CE0A">
            <w:pPr>
              <w:rPr>
                <w:sz w:val="20"/>
                <w:szCs w:val="20"/>
              </w:rPr>
            </w:pPr>
          </w:p>
          <w:p w:rsidR="35CF15D0" w:rsidP="1CD27BE7" w:rsidRDefault="35CF15D0" w14:paraId="40488C2E" w14:textId="3E8CE700">
            <w:pPr>
              <w:rPr>
                <w:sz w:val="20"/>
                <w:szCs w:val="20"/>
              </w:rPr>
            </w:pPr>
            <w:hyperlink r:id="rId28">
              <w:r w:rsidRPr="1CD27BE7">
                <w:rPr>
                  <w:rStyle w:val="Hyperlink"/>
                  <w:color w:val="auto"/>
                  <w:sz w:val="20"/>
                  <w:szCs w:val="20"/>
                </w:rPr>
                <w:t>Credentials of Value</w:t>
              </w:r>
            </w:hyperlink>
            <w:r w:rsidRPr="1CD27BE7">
              <w:rPr>
                <w:sz w:val="20"/>
                <w:szCs w:val="20"/>
              </w:rPr>
              <w:t>, Advance CTE</w:t>
            </w:r>
          </w:p>
        </w:tc>
        <w:tc>
          <w:tcPr>
            <w:tcW w:w="4892" w:type="dxa"/>
            <w:tcMar/>
          </w:tcPr>
          <w:p w:rsidR="1CD27BE7" w:rsidP="1CD27BE7" w:rsidRDefault="1CD27BE7" w14:paraId="70BEF0C6" w14:textId="3736D5C3">
            <w:pPr>
              <w:rPr>
                <w:sz w:val="20"/>
                <w:szCs w:val="20"/>
              </w:rPr>
            </w:pPr>
          </w:p>
        </w:tc>
      </w:tr>
      <w:tr w:rsidR="73C9BED2" w:rsidTr="68229EA2" w14:paraId="0B2195E7" w14:textId="77777777">
        <w:trPr>
          <w:trHeight w:val="300"/>
        </w:trPr>
        <w:tc>
          <w:tcPr>
            <w:tcW w:w="1785" w:type="dxa"/>
            <w:tcMar/>
          </w:tcPr>
          <w:p w:rsidR="134DE207" w:rsidP="73C9BED2" w:rsidRDefault="134DE207" w14:paraId="0581A3D7" w14:textId="33ED79B4">
            <w:pPr>
              <w:rPr>
                <w:sz w:val="20"/>
                <w:szCs w:val="20"/>
              </w:rPr>
            </w:pPr>
            <w:r w:rsidRPr="73C9BED2">
              <w:rPr>
                <w:sz w:val="20"/>
                <w:szCs w:val="20"/>
              </w:rPr>
              <w:t>Industry certifications</w:t>
            </w:r>
          </w:p>
        </w:tc>
        <w:tc>
          <w:tcPr>
            <w:tcW w:w="5550" w:type="dxa"/>
            <w:tcMar/>
          </w:tcPr>
          <w:p w:rsidR="134DE207" w:rsidP="73C9BED2" w:rsidRDefault="77E4DFE0" w14:paraId="7AC2A246" w14:textId="3B945B3D">
            <w:pPr>
              <w:rPr>
                <w:sz w:val="20"/>
                <w:szCs w:val="20"/>
              </w:rPr>
            </w:pPr>
            <w:r w:rsidRPr="54FCF601">
              <w:rPr>
                <w:sz w:val="20"/>
                <w:szCs w:val="20"/>
              </w:rPr>
              <w:t>Industry certifications are a</w:t>
            </w:r>
            <w:r w:rsidRPr="54FCF601" w:rsidR="134DE207">
              <w:rPr>
                <w:sz w:val="20"/>
                <w:szCs w:val="20"/>
              </w:rPr>
              <w:t xml:space="preserve"> subtype of “industry recognized credentials,” result</w:t>
            </w:r>
            <w:r w:rsidRPr="54FCF601" w:rsidR="73DFABA7">
              <w:rPr>
                <w:sz w:val="20"/>
                <w:szCs w:val="20"/>
              </w:rPr>
              <w:t>ing</w:t>
            </w:r>
            <w:r w:rsidRPr="54FCF601" w:rsidR="134DE207">
              <w:rPr>
                <w:sz w:val="20"/>
                <w:szCs w:val="20"/>
              </w:rPr>
              <w:t xml:space="preserve"> from assessment processes</w:t>
            </w:r>
            <w:r w:rsidRPr="54FCF601" w:rsidR="790F53C4">
              <w:rPr>
                <w:sz w:val="20"/>
                <w:szCs w:val="20"/>
              </w:rPr>
              <w:t xml:space="preserve"> that indicate mastery/competency measured against a set of standards that are set through a defensible, industry-wide process of required knowledge and skills and typically ha</w:t>
            </w:r>
            <w:r w:rsidRPr="54FCF601" w:rsidR="1827781A">
              <w:rPr>
                <w:sz w:val="20"/>
                <w:szCs w:val="20"/>
              </w:rPr>
              <w:t xml:space="preserve">ve on-going requirements to maintain. </w:t>
            </w:r>
          </w:p>
        </w:tc>
        <w:tc>
          <w:tcPr>
            <w:tcW w:w="2235" w:type="dxa"/>
            <w:tcMar/>
          </w:tcPr>
          <w:p w:rsidR="7D47B1D8" w:rsidP="73C9BED2" w:rsidRDefault="7D47B1D8" w14:paraId="466FF77E" w14:textId="145DA717">
            <w:pPr>
              <w:rPr>
                <w:sz w:val="20"/>
                <w:szCs w:val="20"/>
              </w:rPr>
            </w:pPr>
            <w:hyperlink r:id="rId29">
              <w:r w:rsidRPr="73C9BED2">
                <w:rPr>
                  <w:rStyle w:val="Hyperlink"/>
                  <w:sz w:val="20"/>
                  <w:szCs w:val="20"/>
                </w:rPr>
                <w:t>Short-term Credentials: A vital measure of post-high school educational attainment in the United States,</w:t>
              </w:r>
            </w:hyperlink>
            <w:r w:rsidRPr="73C9BED2">
              <w:rPr>
                <w:sz w:val="20"/>
                <w:szCs w:val="20"/>
              </w:rPr>
              <w:t xml:space="preserve"> </w:t>
            </w:r>
          </w:p>
          <w:p w:rsidR="7D47B1D8" w:rsidP="73C9BED2" w:rsidRDefault="7D47B1D8" w14:paraId="008CEE00" w14:textId="5304084A">
            <w:pPr>
              <w:rPr>
                <w:sz w:val="20"/>
                <w:szCs w:val="20"/>
              </w:rPr>
            </w:pPr>
            <w:r w:rsidRPr="73C9BED2">
              <w:rPr>
                <w:sz w:val="20"/>
                <w:szCs w:val="20"/>
              </w:rPr>
              <w:t>Lumina</w:t>
            </w:r>
          </w:p>
        </w:tc>
        <w:tc>
          <w:tcPr>
            <w:tcW w:w="4892" w:type="dxa"/>
            <w:tcMar/>
          </w:tcPr>
          <w:p w:rsidR="73C9BED2" w:rsidP="73C9BED2" w:rsidRDefault="73C9BED2" w14:paraId="38C2389D" w14:textId="69FFA31B">
            <w:pPr>
              <w:rPr>
                <w:sz w:val="20"/>
                <w:szCs w:val="20"/>
              </w:rPr>
            </w:pPr>
          </w:p>
        </w:tc>
      </w:tr>
      <w:tr w:rsidR="1CD27BE7" w:rsidTr="68229EA2" w14:paraId="7701BA9E" w14:textId="77777777">
        <w:trPr>
          <w:trHeight w:val="300"/>
        </w:trPr>
        <w:tc>
          <w:tcPr>
            <w:tcW w:w="1785" w:type="dxa"/>
            <w:tcMar/>
          </w:tcPr>
          <w:p w:rsidR="2FFB2AE5" w:rsidP="1CD27BE7" w:rsidRDefault="2FFB2AE5" w14:paraId="5AB13F3E" w14:textId="37394FD7">
            <w:pPr>
              <w:rPr>
                <w:sz w:val="20"/>
                <w:szCs w:val="20"/>
              </w:rPr>
            </w:pPr>
            <w:r w:rsidRPr="1CD27BE7">
              <w:rPr>
                <w:sz w:val="20"/>
                <w:szCs w:val="20"/>
              </w:rPr>
              <w:t>Micro-credentials</w:t>
            </w:r>
          </w:p>
        </w:tc>
        <w:tc>
          <w:tcPr>
            <w:tcW w:w="5550" w:type="dxa"/>
            <w:tcMar/>
          </w:tcPr>
          <w:p w:rsidR="449F6ECB" w:rsidP="1CD27BE7" w:rsidRDefault="20AFDE5D" w14:paraId="2418DE30" w14:textId="402CAEFE">
            <w:pPr>
              <w:rPr>
                <w:sz w:val="20"/>
                <w:szCs w:val="20"/>
              </w:rPr>
            </w:pPr>
            <w:r w:rsidRPr="20AFDE5D">
              <w:rPr>
                <w:sz w:val="20"/>
                <w:szCs w:val="20"/>
              </w:rPr>
              <w:t>Micro-credentials are focused credit or non-credit learning experiences designed to include industry-valued and specialized skills or knowledge that enable learners to upskill, reskill, and earn credentials within a shorter timeframe than traditional 2-year and 4-year degrees while balancing work, home, and social responsibilities.</w:t>
            </w:r>
          </w:p>
        </w:tc>
        <w:tc>
          <w:tcPr>
            <w:tcW w:w="2235" w:type="dxa"/>
            <w:tcMar/>
          </w:tcPr>
          <w:p w:rsidR="64D1AD10" w:rsidP="1CD27BE7" w:rsidRDefault="64D1AD10" w14:paraId="6FD1A3A5" w14:textId="299E5083">
            <w:pPr>
              <w:rPr>
                <w:sz w:val="20"/>
                <w:szCs w:val="20"/>
              </w:rPr>
            </w:pPr>
            <w:hyperlink r:id="rId30">
              <w:r w:rsidRPr="1CD27BE7">
                <w:rPr>
                  <w:rStyle w:val="Hyperlink"/>
                  <w:color w:val="auto"/>
                  <w:sz w:val="20"/>
                  <w:szCs w:val="20"/>
                </w:rPr>
                <w:t>SBCTC Draft Working Definitions for Micro-credentials and Micro-pathways</w:t>
              </w:r>
            </w:hyperlink>
          </w:p>
          <w:p w:rsidR="1CD27BE7" w:rsidP="1CD27BE7" w:rsidRDefault="1CD27BE7" w14:paraId="1E836E1C" w14:textId="1C2361AC">
            <w:pPr>
              <w:rPr>
                <w:sz w:val="20"/>
                <w:szCs w:val="20"/>
              </w:rPr>
            </w:pPr>
          </w:p>
          <w:p w:rsidR="64D1AD10" w:rsidP="1CD27BE7" w:rsidRDefault="64D1AD10" w14:paraId="00551A38" w14:textId="394EB08B">
            <w:pPr>
              <w:rPr>
                <w:sz w:val="20"/>
                <w:szCs w:val="20"/>
              </w:rPr>
            </w:pPr>
            <w:hyperlink w:anchor="micro-credentials-explained" r:id="rId31">
              <w:r w:rsidRPr="1CD27BE7">
                <w:rPr>
                  <w:rStyle w:val="Hyperlink"/>
                  <w:color w:val="auto"/>
                  <w:sz w:val="20"/>
                  <w:szCs w:val="20"/>
                </w:rPr>
                <w:t>Education Design Lab</w:t>
              </w:r>
            </w:hyperlink>
          </w:p>
        </w:tc>
        <w:tc>
          <w:tcPr>
            <w:tcW w:w="4892" w:type="dxa"/>
            <w:tcMar/>
          </w:tcPr>
          <w:p w:rsidR="1CD27BE7" w:rsidP="1CD27BE7" w:rsidRDefault="387747B4" w14:paraId="06AC1047" w14:textId="3A5EFF71">
            <w:pPr>
              <w:rPr>
                <w:sz w:val="20"/>
                <w:szCs w:val="20"/>
              </w:rPr>
            </w:pPr>
            <w:r w:rsidRPr="387747B4">
              <w:rPr>
                <w:sz w:val="20"/>
                <w:szCs w:val="20"/>
              </w:rPr>
              <w:t>[add 6 elements to operationalize]</w:t>
            </w:r>
          </w:p>
        </w:tc>
      </w:tr>
      <w:tr w:rsidR="1CD27BE7" w:rsidTr="68229EA2" w14:paraId="612A4044" w14:textId="77777777">
        <w:trPr>
          <w:trHeight w:val="300"/>
        </w:trPr>
        <w:tc>
          <w:tcPr>
            <w:tcW w:w="1785" w:type="dxa"/>
            <w:tcMar/>
          </w:tcPr>
          <w:p w:rsidR="45FAEBB8" w:rsidP="1CD27BE7" w:rsidRDefault="45FAEBB8" w14:paraId="01440FBC" w14:textId="560CC351">
            <w:pPr>
              <w:rPr>
                <w:sz w:val="20"/>
                <w:szCs w:val="20"/>
              </w:rPr>
            </w:pPr>
            <w:r w:rsidRPr="1CD27BE7">
              <w:rPr>
                <w:sz w:val="20"/>
                <w:szCs w:val="20"/>
              </w:rPr>
              <w:t>Micro-pathways</w:t>
            </w:r>
          </w:p>
        </w:tc>
        <w:tc>
          <w:tcPr>
            <w:tcW w:w="5550" w:type="dxa"/>
            <w:tcMar/>
          </w:tcPr>
          <w:p w:rsidR="2ED4A226" w:rsidP="1CD27BE7" w:rsidRDefault="3850EF05" w14:paraId="4F8A30B1" w14:textId="5ED8EC43">
            <w:pPr>
              <w:rPr>
                <w:sz w:val="20"/>
                <w:szCs w:val="20"/>
              </w:rPr>
            </w:pPr>
            <w:r w:rsidRPr="54FCF601">
              <w:rPr>
                <w:sz w:val="20"/>
                <w:szCs w:val="20"/>
              </w:rPr>
              <w:t>M</w:t>
            </w:r>
            <w:r w:rsidRPr="54FCF601" w:rsidR="2ED4A226">
              <w:rPr>
                <w:sz w:val="20"/>
                <w:szCs w:val="20"/>
              </w:rPr>
              <w:t>icro-pathway</w:t>
            </w:r>
            <w:r w:rsidRPr="54FCF601" w:rsidR="59535838">
              <w:rPr>
                <w:sz w:val="20"/>
                <w:szCs w:val="20"/>
              </w:rPr>
              <w:t>s</w:t>
            </w:r>
            <w:r w:rsidRPr="54FCF601" w:rsidR="2ED4A226">
              <w:rPr>
                <w:sz w:val="20"/>
                <w:szCs w:val="20"/>
              </w:rPr>
              <w:t xml:space="preserve"> </w:t>
            </w:r>
            <w:r w:rsidRPr="54FCF601" w:rsidR="526D95DD">
              <w:rPr>
                <w:sz w:val="20"/>
                <w:szCs w:val="20"/>
              </w:rPr>
              <w:t>consist</w:t>
            </w:r>
            <w:r w:rsidRPr="54FCF601" w:rsidR="2ED4A226">
              <w:rPr>
                <w:sz w:val="20"/>
                <w:szCs w:val="20"/>
              </w:rPr>
              <w:t xml:space="preserve"> of two or more micro-credentials that combine in-demand technical skills with core durable skills that, once earned, lead to or “stack” toward a certificate or other credential.</w:t>
            </w:r>
          </w:p>
        </w:tc>
        <w:tc>
          <w:tcPr>
            <w:tcW w:w="2235" w:type="dxa"/>
            <w:tcMar/>
          </w:tcPr>
          <w:p w:rsidR="0B46AF4A" w:rsidP="1CD27BE7" w:rsidRDefault="387747B4" w14:paraId="783E551B" w14:textId="6C913663">
            <w:pPr>
              <w:rPr>
                <w:sz w:val="20"/>
                <w:szCs w:val="20"/>
              </w:rPr>
            </w:pPr>
            <w:hyperlink r:id="rId32">
              <w:r w:rsidRPr="387747B4">
                <w:rPr>
                  <w:rStyle w:val="Hyperlink"/>
                  <w:color w:val="auto"/>
                  <w:sz w:val="20"/>
                  <w:szCs w:val="20"/>
                </w:rPr>
                <w:t>SBCTC Draft Working Definitions for Micro-credentials and Micro-pathways</w:t>
              </w:r>
            </w:hyperlink>
          </w:p>
          <w:p w:rsidR="1CD27BE7" w:rsidP="1CD27BE7" w:rsidRDefault="1CD27BE7" w14:paraId="7A8B253F" w14:textId="3C06D029">
            <w:pPr>
              <w:rPr>
                <w:sz w:val="20"/>
                <w:szCs w:val="20"/>
              </w:rPr>
            </w:pPr>
          </w:p>
          <w:p w:rsidR="730D996B" w:rsidP="1CD27BE7" w:rsidRDefault="730D996B" w14:paraId="4154012C" w14:textId="72058003">
            <w:pPr>
              <w:rPr>
                <w:sz w:val="20"/>
                <w:szCs w:val="20"/>
              </w:rPr>
            </w:pPr>
            <w:hyperlink w:anchor="micro-credentials-explained" r:id="rId33">
              <w:r w:rsidRPr="1CD27BE7">
                <w:rPr>
                  <w:rStyle w:val="Hyperlink"/>
                  <w:color w:val="auto"/>
                  <w:sz w:val="20"/>
                  <w:szCs w:val="20"/>
                </w:rPr>
                <w:t>Education Design Lab</w:t>
              </w:r>
            </w:hyperlink>
          </w:p>
        </w:tc>
        <w:tc>
          <w:tcPr>
            <w:tcW w:w="4892" w:type="dxa"/>
            <w:tcMar/>
          </w:tcPr>
          <w:p w:rsidR="45FAEBB8" w:rsidP="1CD27BE7" w:rsidRDefault="1A6ABB4F" w14:paraId="09A9955E" w14:textId="7B05A7D3">
            <w:pPr>
              <w:rPr>
                <w:sz w:val="20"/>
                <w:szCs w:val="20"/>
              </w:rPr>
            </w:pPr>
            <w:r w:rsidRPr="73C9BED2">
              <w:rPr>
                <w:sz w:val="20"/>
                <w:szCs w:val="20"/>
              </w:rPr>
              <w:t>Micro-pathways are flexibly delivered programs co-designed with learners and employers that prepare learners for immediate employment</w:t>
            </w:r>
            <w:r w:rsidRPr="73C9BED2" w:rsidR="07366CD2">
              <w:rPr>
                <w:sz w:val="20"/>
                <w:szCs w:val="20"/>
              </w:rPr>
              <w:t xml:space="preserve">. </w:t>
            </w:r>
            <w:r w:rsidRPr="73C9BED2">
              <w:rPr>
                <w:sz w:val="20"/>
                <w:szCs w:val="20"/>
              </w:rPr>
              <w:t>Micro-pathways are designed to meet the needs of employers and guide learners on the path to employment opportunities and degree completion.</w:t>
            </w:r>
          </w:p>
        </w:tc>
      </w:tr>
      <w:tr w:rsidR="387747B4" w:rsidTr="68229EA2" w14:paraId="3A112C23" w14:textId="77777777">
        <w:trPr>
          <w:trHeight w:val="300"/>
        </w:trPr>
        <w:tc>
          <w:tcPr>
            <w:tcW w:w="1785" w:type="dxa"/>
            <w:tcMar/>
          </w:tcPr>
          <w:p w:rsidR="387747B4" w:rsidP="56239BF1" w:rsidRDefault="387747B4" w14:paraId="23B94A1D" w14:textId="69A80580">
            <w:pPr>
              <w:rPr>
                <w:sz w:val="20"/>
                <w:szCs w:val="20"/>
                <w:highlight w:val="yellow"/>
              </w:rPr>
            </w:pPr>
            <w:r w:rsidRPr="56239BF1" w:rsidR="56239BF1">
              <w:rPr>
                <w:sz w:val="20"/>
                <w:szCs w:val="20"/>
                <w:highlight w:val="yellow"/>
              </w:rPr>
              <w:t>MOOC</w:t>
            </w:r>
          </w:p>
        </w:tc>
        <w:tc>
          <w:tcPr>
            <w:tcW w:w="5550" w:type="dxa"/>
            <w:tcMar/>
          </w:tcPr>
          <w:p w:rsidR="387747B4" w:rsidP="56239BF1" w:rsidRDefault="387747B4" w14:paraId="45D81EA4" w14:textId="6A6E51FD">
            <w:pPr>
              <w:rPr>
                <w:sz w:val="20"/>
                <w:szCs w:val="20"/>
                <w:highlight w:val="yellow"/>
              </w:rPr>
            </w:pPr>
            <w:r w:rsidRPr="56239BF1" w:rsidR="56239BF1">
              <w:rPr>
                <w:sz w:val="20"/>
                <w:szCs w:val="20"/>
                <w:highlight w:val="yellow"/>
              </w:rPr>
              <w:t>Massive open online course</w:t>
            </w:r>
          </w:p>
        </w:tc>
        <w:tc>
          <w:tcPr>
            <w:tcW w:w="2235" w:type="dxa"/>
            <w:tcMar/>
          </w:tcPr>
          <w:p w:rsidR="387747B4" w:rsidP="387747B4" w:rsidRDefault="387747B4" w14:paraId="5DDA56BA" w14:textId="7C6D9297">
            <w:pPr>
              <w:rPr>
                <w:sz w:val="20"/>
                <w:szCs w:val="20"/>
              </w:rPr>
            </w:pPr>
          </w:p>
        </w:tc>
        <w:tc>
          <w:tcPr>
            <w:tcW w:w="4892" w:type="dxa"/>
            <w:tcMar/>
          </w:tcPr>
          <w:p w:rsidR="387747B4" w:rsidP="387747B4" w:rsidRDefault="387747B4" w14:paraId="259DEFB7" w14:textId="209BDB10">
            <w:pPr>
              <w:rPr>
                <w:sz w:val="20"/>
                <w:szCs w:val="20"/>
              </w:rPr>
            </w:pPr>
          </w:p>
        </w:tc>
      </w:tr>
      <w:tr w:rsidR="387747B4" w:rsidTr="68229EA2" w14:paraId="53E842E7" w14:textId="77777777">
        <w:trPr>
          <w:trHeight w:val="300"/>
        </w:trPr>
        <w:tc>
          <w:tcPr>
            <w:tcW w:w="1785" w:type="dxa"/>
            <w:tcMar/>
          </w:tcPr>
          <w:p w:rsidR="387747B4" w:rsidP="56239BF1" w:rsidRDefault="387747B4" w14:paraId="0856CF1D" w14:textId="30C11E9C">
            <w:pPr>
              <w:rPr>
                <w:sz w:val="20"/>
                <w:szCs w:val="20"/>
                <w:highlight w:val="yellow"/>
              </w:rPr>
            </w:pPr>
            <w:r w:rsidRPr="56239BF1" w:rsidR="56239BF1">
              <w:rPr>
                <w:sz w:val="20"/>
                <w:szCs w:val="20"/>
                <w:highlight w:val="yellow"/>
              </w:rPr>
              <w:t>Third party online training vendors</w:t>
            </w:r>
          </w:p>
        </w:tc>
        <w:tc>
          <w:tcPr>
            <w:tcW w:w="5550" w:type="dxa"/>
            <w:tcMar/>
          </w:tcPr>
          <w:p w:rsidR="387747B4" w:rsidP="56239BF1" w:rsidRDefault="387747B4" w14:paraId="441A3569" w14:textId="4D4DEFAB">
            <w:pPr>
              <w:rPr>
                <w:sz w:val="20"/>
                <w:szCs w:val="20"/>
                <w:highlight w:val="yellow"/>
              </w:rPr>
            </w:pPr>
          </w:p>
        </w:tc>
        <w:tc>
          <w:tcPr>
            <w:tcW w:w="2235" w:type="dxa"/>
            <w:tcMar/>
          </w:tcPr>
          <w:p w:rsidR="387747B4" w:rsidP="56239BF1" w:rsidRDefault="387747B4" w14:paraId="12A4F9E6" w14:textId="3D602A05">
            <w:pPr>
              <w:rPr>
                <w:sz w:val="20"/>
                <w:szCs w:val="20"/>
                <w:highlight w:val="yellow"/>
              </w:rPr>
            </w:pPr>
          </w:p>
        </w:tc>
        <w:tc>
          <w:tcPr>
            <w:tcW w:w="4892" w:type="dxa"/>
            <w:tcMar/>
          </w:tcPr>
          <w:p w:rsidR="387747B4" w:rsidP="56239BF1" w:rsidRDefault="387747B4" w14:paraId="2122AC26" w14:textId="6523E0C3">
            <w:pPr>
              <w:rPr>
                <w:sz w:val="20"/>
                <w:szCs w:val="20"/>
                <w:highlight w:val="yellow"/>
              </w:rPr>
            </w:pPr>
            <w:r w:rsidRPr="56239BF1" w:rsidR="56239BF1">
              <w:rPr>
                <w:sz w:val="20"/>
                <w:szCs w:val="20"/>
                <w:highlight w:val="yellow"/>
              </w:rPr>
              <w:t xml:space="preserve">Ed2Go, </w:t>
            </w:r>
            <w:r w:rsidRPr="56239BF1" w:rsidR="56239BF1">
              <w:rPr>
                <w:sz w:val="20"/>
                <w:szCs w:val="20"/>
                <w:highlight w:val="yellow"/>
              </w:rPr>
              <w:t>MindEdge</w:t>
            </w:r>
          </w:p>
        </w:tc>
      </w:tr>
      <w:tr w:rsidR="1CD27BE7" w:rsidTr="68229EA2" w14:paraId="0CBEE345" w14:textId="77777777">
        <w:trPr>
          <w:trHeight w:val="300"/>
        </w:trPr>
        <w:tc>
          <w:tcPr>
            <w:tcW w:w="1785" w:type="dxa"/>
            <w:tcMar/>
          </w:tcPr>
          <w:p w:rsidR="53A1E95A" w:rsidP="1CD27BE7" w:rsidRDefault="53A1E95A" w14:paraId="571B1B61" w14:textId="6111A0F2">
            <w:pPr>
              <w:rPr>
                <w:sz w:val="20"/>
                <w:szCs w:val="20"/>
              </w:rPr>
            </w:pPr>
            <w:r w:rsidRPr="1CD27BE7">
              <w:rPr>
                <w:sz w:val="20"/>
                <w:szCs w:val="20"/>
              </w:rPr>
              <w:t>Non-degree credential</w:t>
            </w:r>
          </w:p>
        </w:tc>
        <w:tc>
          <w:tcPr>
            <w:tcW w:w="5550" w:type="dxa"/>
            <w:tcMar/>
          </w:tcPr>
          <w:p w:rsidR="0F22DF8E" w:rsidP="73C9BED2" w:rsidRDefault="425D1BC5" w14:paraId="31BD0F49" w14:textId="7B7F80F3">
            <w:pPr>
              <w:rPr>
                <w:sz w:val="20"/>
                <w:szCs w:val="20"/>
              </w:rPr>
            </w:pPr>
            <w:r w:rsidRPr="73C9BED2">
              <w:rPr>
                <w:sz w:val="20"/>
                <w:szCs w:val="20"/>
              </w:rPr>
              <w:t>Non-degree credentials are those awarded for successful completion of structured learning experiences that do not directly result in award</w:t>
            </w:r>
            <w:r w:rsidRPr="73C9BED2" w:rsidR="4227D7AF">
              <w:rPr>
                <w:sz w:val="20"/>
                <w:szCs w:val="20"/>
              </w:rPr>
              <w:t xml:space="preserve"> of a degree (</w:t>
            </w:r>
            <w:r w:rsidRPr="73C9BED2" w:rsidR="58B2AD72">
              <w:rPr>
                <w:sz w:val="20"/>
                <w:szCs w:val="20"/>
              </w:rPr>
              <w:t>associate</w:t>
            </w:r>
            <w:r w:rsidRPr="73C9BED2" w:rsidR="4227D7AF">
              <w:rPr>
                <w:sz w:val="20"/>
                <w:szCs w:val="20"/>
              </w:rPr>
              <w:t xml:space="preserve">, bachelor’s, master’s, doctorate). These credentials </w:t>
            </w:r>
            <w:r w:rsidRPr="73C9BED2" w:rsidR="6FDEC841">
              <w:rPr>
                <w:sz w:val="20"/>
                <w:szCs w:val="20"/>
              </w:rPr>
              <w:t>fall into four primary categories:</w:t>
            </w:r>
          </w:p>
          <w:p w:rsidR="0F22DF8E" w:rsidP="73C9BED2" w:rsidRDefault="4B00A7A8" w14:paraId="0C5A15DA" w14:textId="0E908924">
            <w:pPr>
              <w:pStyle w:val="ListParagraph"/>
              <w:numPr>
                <w:ilvl w:val="0"/>
                <w:numId w:val="2"/>
              </w:numPr>
              <w:rPr>
                <w:sz w:val="20"/>
                <w:szCs w:val="20"/>
              </w:rPr>
            </w:pPr>
            <w:r w:rsidRPr="73C9BED2">
              <w:rPr>
                <w:sz w:val="20"/>
                <w:szCs w:val="20"/>
              </w:rPr>
              <w:t xml:space="preserve">Certificates </w:t>
            </w:r>
          </w:p>
          <w:p w:rsidR="0F22DF8E" w:rsidP="73C9BED2" w:rsidRDefault="27224AB4" w14:paraId="0DA62E79" w14:textId="493A5E22">
            <w:pPr>
              <w:pStyle w:val="ListParagraph"/>
              <w:numPr>
                <w:ilvl w:val="0"/>
                <w:numId w:val="2"/>
              </w:numPr>
              <w:rPr>
                <w:sz w:val="20"/>
                <w:szCs w:val="20"/>
              </w:rPr>
            </w:pPr>
            <w:r w:rsidRPr="73C9BED2">
              <w:rPr>
                <w:sz w:val="20"/>
                <w:szCs w:val="20"/>
              </w:rPr>
              <w:t>I</w:t>
            </w:r>
            <w:r w:rsidRPr="73C9BED2" w:rsidR="4B00A7A8">
              <w:rPr>
                <w:sz w:val="20"/>
                <w:szCs w:val="20"/>
              </w:rPr>
              <w:t>ndustry certifications</w:t>
            </w:r>
            <w:r w:rsidRPr="73C9BED2" w:rsidR="047B7522">
              <w:rPr>
                <w:sz w:val="20"/>
                <w:szCs w:val="20"/>
              </w:rPr>
              <w:t xml:space="preserve"> (aka, industry recognized credentials)</w:t>
            </w:r>
          </w:p>
          <w:p w:rsidR="0F22DF8E" w:rsidP="73C9BED2" w:rsidRDefault="61763626" w14:paraId="09C68F21" w14:textId="345710C5">
            <w:pPr>
              <w:pStyle w:val="ListParagraph"/>
              <w:numPr>
                <w:ilvl w:val="0"/>
                <w:numId w:val="2"/>
              </w:numPr>
              <w:rPr>
                <w:sz w:val="20"/>
                <w:szCs w:val="20"/>
              </w:rPr>
            </w:pPr>
            <w:r w:rsidRPr="73C9BED2">
              <w:rPr>
                <w:sz w:val="20"/>
                <w:szCs w:val="20"/>
              </w:rPr>
              <w:t>O</w:t>
            </w:r>
            <w:r w:rsidRPr="73C9BED2" w:rsidR="4B00A7A8">
              <w:rPr>
                <w:sz w:val="20"/>
                <w:szCs w:val="20"/>
              </w:rPr>
              <w:t xml:space="preserve">ccupational licenses </w:t>
            </w:r>
          </w:p>
          <w:p w:rsidR="0F22DF8E" w:rsidP="73C9BED2" w:rsidRDefault="6FB77569" w14:paraId="703250EB" w14:textId="6CFE6AA2">
            <w:pPr>
              <w:pStyle w:val="ListParagraph"/>
              <w:numPr>
                <w:ilvl w:val="0"/>
                <w:numId w:val="2"/>
              </w:numPr>
              <w:rPr>
                <w:sz w:val="20"/>
                <w:szCs w:val="20"/>
              </w:rPr>
            </w:pPr>
            <w:r w:rsidRPr="73C9BED2">
              <w:rPr>
                <w:sz w:val="20"/>
                <w:szCs w:val="20"/>
              </w:rPr>
              <w:t>A</w:t>
            </w:r>
            <w:r w:rsidRPr="73C9BED2" w:rsidR="4B00A7A8">
              <w:rPr>
                <w:sz w:val="20"/>
                <w:szCs w:val="20"/>
              </w:rPr>
              <w:t xml:space="preserve">pprenticeship certificates. </w:t>
            </w:r>
          </w:p>
          <w:p w:rsidR="1CD27BE7" w:rsidP="1CD27BE7" w:rsidRDefault="1CD27BE7" w14:paraId="7818771D" w14:textId="25A71681">
            <w:pPr>
              <w:rPr>
                <w:sz w:val="20"/>
                <w:szCs w:val="20"/>
              </w:rPr>
            </w:pPr>
          </w:p>
          <w:p w:rsidR="045C16DA" w:rsidP="1CD27BE7" w:rsidRDefault="3D3DBA3E" w14:paraId="355183B7" w14:textId="46CC67E9">
            <w:pPr>
              <w:rPr>
                <w:sz w:val="20"/>
                <w:szCs w:val="20"/>
              </w:rPr>
            </w:pPr>
            <w:r w:rsidRPr="54FCF601">
              <w:rPr>
                <w:sz w:val="20"/>
                <w:szCs w:val="20"/>
              </w:rPr>
              <w:t xml:space="preserve">Certificates are credentials awarded by an education institution based on completion of all requirements for a program of study, including coursework and tests. They are not time limited and do not need to be renewed. </w:t>
            </w:r>
          </w:p>
          <w:p w:rsidR="1CD27BE7" w:rsidP="1CD27BE7" w:rsidRDefault="1CD27BE7" w14:paraId="653C2100" w14:textId="49EF16AD">
            <w:pPr>
              <w:rPr>
                <w:sz w:val="20"/>
                <w:szCs w:val="20"/>
              </w:rPr>
            </w:pPr>
          </w:p>
          <w:p w:rsidR="045C16DA" w:rsidP="1CD27BE7" w:rsidRDefault="3D3DBA3E" w14:paraId="15EAB66A" w14:textId="75AA655B">
            <w:pPr>
              <w:rPr>
                <w:sz w:val="20"/>
                <w:szCs w:val="20"/>
              </w:rPr>
            </w:pPr>
            <w:r w:rsidRPr="73C9BED2">
              <w:rPr>
                <w:sz w:val="20"/>
                <w:szCs w:val="20"/>
              </w:rPr>
              <w:t>Industry certifications</w:t>
            </w:r>
            <w:r w:rsidRPr="73C9BED2" w:rsidR="64F559F5">
              <w:rPr>
                <w:sz w:val="20"/>
                <w:szCs w:val="20"/>
              </w:rPr>
              <w:t xml:space="preserve"> (aka “industry recognized credentials”)</w:t>
            </w:r>
            <w:r w:rsidRPr="73C9BED2">
              <w:rPr>
                <w:sz w:val="20"/>
                <w:szCs w:val="20"/>
              </w:rPr>
              <w:t xml:space="preserve"> are credentials awarded by a certification body (not a school or government agency) </w:t>
            </w:r>
            <w:r w:rsidRPr="73C9BED2" w:rsidR="67C5BE0E">
              <w:rPr>
                <w:sz w:val="20"/>
                <w:szCs w:val="20"/>
              </w:rPr>
              <w:t xml:space="preserve">and recognized by industry </w:t>
            </w:r>
            <w:r w:rsidRPr="73C9BED2">
              <w:rPr>
                <w:sz w:val="20"/>
                <w:szCs w:val="20"/>
              </w:rPr>
              <w:t xml:space="preserve">based on an individual demonstrating, through an examination process, that he or she has acquired the designated knowledge, skills, and abilities to perform a specific occupation or skill. It is time-limited and may be renewed through a re-certification process. </w:t>
            </w:r>
          </w:p>
          <w:p w:rsidR="1CD27BE7" w:rsidP="1CD27BE7" w:rsidRDefault="1CD27BE7" w14:paraId="43A529DA" w14:textId="14C92ADC">
            <w:pPr>
              <w:rPr>
                <w:sz w:val="20"/>
                <w:szCs w:val="20"/>
              </w:rPr>
            </w:pPr>
          </w:p>
          <w:p w:rsidR="36A7DB7C" w:rsidP="73C9BED2" w:rsidRDefault="20AFDE5D" w14:paraId="48678E34" w14:textId="422D82C2">
            <w:pPr>
              <w:rPr>
                <w:sz w:val="20"/>
                <w:szCs w:val="20"/>
              </w:rPr>
            </w:pPr>
            <w:r w:rsidRPr="20AFDE5D">
              <w:rPr>
                <w:sz w:val="20"/>
                <w:szCs w:val="20"/>
              </w:rPr>
              <w:t>Apprenticeship certificates are credentials earned through work-based learning and postsecondary earn-and-learn models. They are applicable to industry trades and professions. Registered apprenticeship certificates meet state and/or national standards.</w:t>
            </w:r>
          </w:p>
          <w:p w:rsidR="73C9BED2" w:rsidP="73C9BED2" w:rsidRDefault="73C9BED2" w14:paraId="589D4054" w14:textId="676915C7">
            <w:pPr>
              <w:rPr>
                <w:sz w:val="20"/>
                <w:szCs w:val="20"/>
              </w:rPr>
            </w:pPr>
          </w:p>
          <w:p w:rsidR="045C16DA" w:rsidP="1CD27BE7" w:rsidRDefault="3D3DBA3E" w14:paraId="37EEAB58" w14:textId="364AF540">
            <w:pPr>
              <w:rPr>
                <w:sz w:val="20"/>
                <w:szCs w:val="20"/>
              </w:rPr>
            </w:pPr>
            <w:r w:rsidRPr="73C9BED2">
              <w:rPr>
                <w:sz w:val="20"/>
                <w:szCs w:val="20"/>
              </w:rPr>
              <w:t xml:space="preserve">Licenses are credentials that permit the holder to practice in a specified field. An occupational license is awarded by a government licensing agency based on pre-determined criteria. The criteria may include </w:t>
            </w:r>
            <w:r w:rsidRPr="73C9BED2" w:rsidR="6F24C611">
              <w:rPr>
                <w:sz w:val="20"/>
                <w:szCs w:val="20"/>
              </w:rPr>
              <w:t>a</w:t>
            </w:r>
            <w:r w:rsidRPr="73C9BED2">
              <w:rPr>
                <w:sz w:val="20"/>
                <w:szCs w:val="20"/>
              </w:rPr>
              <w:t xml:space="preserve"> combination of degree attainment, certifications, certificates, assessment, apprenticeship programs, or work experience. Licenses are time-limited and must be renewed periodically.</w:t>
            </w:r>
          </w:p>
        </w:tc>
        <w:tc>
          <w:tcPr>
            <w:tcW w:w="2235" w:type="dxa"/>
            <w:tcMar/>
          </w:tcPr>
          <w:p w:rsidR="5EC8770C" w:rsidP="73C9BED2" w:rsidRDefault="5EC8770C" w14:paraId="1929BE99" w14:textId="695F26A5">
            <w:pPr>
              <w:rPr>
                <w:sz w:val="20"/>
                <w:szCs w:val="20"/>
              </w:rPr>
            </w:pPr>
            <w:hyperlink w:anchor=":~:text=In%20August%202023%2C%20UPCEA%20polled,%2C%20and%20other%20(11%25" r:id="rId34">
              <w:r w:rsidRPr="73C9BED2">
                <w:rPr>
                  <w:rStyle w:val="Hyperlink"/>
                  <w:sz w:val="20"/>
                  <w:szCs w:val="20"/>
                </w:rPr>
                <w:t>UPCEA</w:t>
              </w:r>
            </w:hyperlink>
          </w:p>
          <w:p w:rsidR="73C9BED2" w:rsidP="73C9BED2" w:rsidRDefault="73C9BED2" w14:paraId="6693C9F3" w14:textId="3D84289F">
            <w:pPr>
              <w:rPr>
                <w:sz w:val="20"/>
                <w:szCs w:val="20"/>
              </w:rPr>
            </w:pPr>
          </w:p>
          <w:p w:rsidR="62C0607B" w:rsidP="1CD27BE7" w:rsidRDefault="62C0607B" w14:paraId="2096B7D6" w14:textId="26362D43">
            <w:pPr>
              <w:rPr>
                <w:sz w:val="20"/>
                <w:szCs w:val="20"/>
              </w:rPr>
            </w:pPr>
            <w:hyperlink r:id="rId35">
              <w:r w:rsidRPr="1CD27BE7">
                <w:rPr>
                  <w:rStyle w:val="Hyperlink"/>
                  <w:color w:val="auto"/>
                  <w:sz w:val="20"/>
                  <w:szCs w:val="20"/>
                </w:rPr>
                <w:t>National Skills Coalition</w:t>
              </w:r>
            </w:hyperlink>
            <w:r w:rsidRPr="1CD27BE7">
              <w:rPr>
                <w:sz w:val="20"/>
                <w:szCs w:val="20"/>
              </w:rPr>
              <w:t xml:space="preserve"> </w:t>
            </w:r>
          </w:p>
        </w:tc>
        <w:tc>
          <w:tcPr>
            <w:tcW w:w="4892" w:type="dxa"/>
            <w:tcMar/>
          </w:tcPr>
          <w:p w:rsidR="0E30C48B" w:rsidP="1CD27BE7" w:rsidRDefault="20AFDE5D" w14:paraId="25E2B8A4" w14:textId="306DF330">
            <w:pPr>
              <w:rPr>
                <w:sz w:val="20"/>
                <w:szCs w:val="20"/>
              </w:rPr>
            </w:pPr>
            <w:r w:rsidRPr="20AFDE5D">
              <w:rPr>
                <w:sz w:val="20"/>
                <w:szCs w:val="20"/>
              </w:rPr>
              <w:t xml:space="preserve">Each specific credential (as opposed to type of credential) is awarded by a specific entity. For example, a certificate is awarded by an educational institution, and a license is awarded by a state licensing agency. In addition, a credential signifies the completion of a specific educational program, meaning the certificate and program are tied together. To receive an education or apprenticeship certificate, an individual must complete a specific program. In contrast, licenses and certifications are not tied to an individual educational program. A licensing body may well require applicants to complete a type of program. There could be multiple individual programs in a state that meet the licensing or certification requirements. Individuals may complete any of these programs in preparation for a license or a certification, receive a certificate, but never receive the license or certification for one reason or another. </w:t>
            </w:r>
          </w:p>
        </w:tc>
      </w:tr>
      <w:tr w:rsidR="1CD27BE7" w:rsidTr="68229EA2" w14:paraId="76CEA491" w14:textId="77777777">
        <w:trPr>
          <w:trHeight w:val="300"/>
        </w:trPr>
        <w:tc>
          <w:tcPr>
            <w:tcW w:w="1785" w:type="dxa"/>
            <w:tcMar/>
          </w:tcPr>
          <w:p w:rsidR="08854CD6" w:rsidP="1CD27BE7" w:rsidRDefault="08854CD6" w14:paraId="5ABD4680" w14:textId="4EB47859">
            <w:pPr>
              <w:rPr>
                <w:sz w:val="20"/>
                <w:szCs w:val="20"/>
              </w:rPr>
            </w:pPr>
            <w:r w:rsidRPr="1CD27BE7">
              <w:rPr>
                <w:sz w:val="20"/>
                <w:szCs w:val="20"/>
              </w:rPr>
              <w:t>Noncredit certificates (C00)</w:t>
            </w:r>
          </w:p>
        </w:tc>
        <w:tc>
          <w:tcPr>
            <w:tcW w:w="5550" w:type="dxa"/>
            <w:tcMar/>
          </w:tcPr>
          <w:p w:rsidR="08854CD6" w:rsidP="1CD27BE7" w:rsidRDefault="20AFDE5D" w14:paraId="4B72C1A4" w14:textId="489A0E34">
            <w:pPr>
              <w:rPr>
                <w:sz w:val="20"/>
                <w:szCs w:val="20"/>
              </w:rPr>
            </w:pPr>
            <w:r w:rsidRPr="20AFDE5D">
              <w:rPr>
                <w:sz w:val="20"/>
                <w:szCs w:val="20"/>
              </w:rPr>
              <w:t xml:space="preserve">C00 noncredit certificates encompass any non-credit bearing certificate that is aligned with a professional-technical pathway in Washington community and technical colleges. C00 coding is also used in continuing education to document non-credit experiences, which is distinctly different than the use under professional-technical. </w:t>
            </w:r>
          </w:p>
          <w:p w:rsidR="1CD27BE7" w:rsidP="1CD27BE7" w:rsidRDefault="1CD27BE7" w14:paraId="161C47FE" w14:textId="113D99E1">
            <w:pPr>
              <w:rPr>
                <w:sz w:val="20"/>
                <w:szCs w:val="20"/>
              </w:rPr>
            </w:pPr>
          </w:p>
          <w:p w:rsidR="08854CD6" w:rsidP="1CD27BE7" w:rsidRDefault="19E740C8" w14:paraId="2FC5F8A3" w14:textId="43AA5126">
            <w:pPr>
              <w:rPr>
                <w:sz w:val="20"/>
                <w:szCs w:val="20"/>
              </w:rPr>
            </w:pPr>
            <w:r w:rsidRPr="54FCF601">
              <w:rPr>
                <w:sz w:val="20"/>
                <w:szCs w:val="20"/>
              </w:rPr>
              <w:t xml:space="preserve">For the purposes of professional-technical </w:t>
            </w:r>
            <w:r w:rsidRPr="54FCF601" w:rsidR="5472508D">
              <w:rPr>
                <w:sz w:val="20"/>
                <w:szCs w:val="20"/>
              </w:rPr>
              <w:t>p</w:t>
            </w:r>
            <w:r w:rsidRPr="54FCF601">
              <w:rPr>
                <w:sz w:val="20"/>
                <w:szCs w:val="20"/>
              </w:rPr>
              <w:t xml:space="preserve">rogram </w:t>
            </w:r>
            <w:r w:rsidRPr="54FCF601" w:rsidR="12EE6773">
              <w:rPr>
                <w:sz w:val="20"/>
                <w:szCs w:val="20"/>
              </w:rPr>
              <w:t>a</w:t>
            </w:r>
            <w:r w:rsidRPr="54FCF601">
              <w:rPr>
                <w:sz w:val="20"/>
                <w:szCs w:val="20"/>
              </w:rPr>
              <w:t xml:space="preserve">pproval, </w:t>
            </w:r>
            <w:r w:rsidRPr="54FCF601" w:rsidR="58BD3A1A">
              <w:rPr>
                <w:sz w:val="20"/>
                <w:szCs w:val="20"/>
              </w:rPr>
              <w:t>a C00 is</w:t>
            </w:r>
            <w:r w:rsidRPr="54FCF601">
              <w:rPr>
                <w:sz w:val="20"/>
                <w:szCs w:val="20"/>
              </w:rPr>
              <w:t xml:space="preserve"> a short-term certificate providing skills and training and must have a workforce outcome. Short certificates (C00 and C01) must be registered with the State Board office using the New Plan approval form and following the Certificate Registration Procedure referenced in this document</w:t>
            </w:r>
            <w:r w:rsidRPr="54FCF601" w:rsidR="06E1A227">
              <w:rPr>
                <w:sz w:val="20"/>
                <w:szCs w:val="20"/>
              </w:rPr>
              <w:t xml:space="preserve">. </w:t>
            </w:r>
          </w:p>
        </w:tc>
        <w:tc>
          <w:tcPr>
            <w:tcW w:w="2235" w:type="dxa"/>
            <w:tcMar/>
          </w:tcPr>
          <w:p w:rsidR="08854CD6" w:rsidP="1CD27BE7" w:rsidRDefault="08854CD6" w14:paraId="266FB8DE" w14:textId="721AD98E">
            <w:pPr>
              <w:rPr>
                <w:sz w:val="20"/>
                <w:szCs w:val="20"/>
              </w:rPr>
            </w:pPr>
            <w:r w:rsidRPr="1CD27BE7">
              <w:rPr>
                <w:sz w:val="20"/>
                <w:szCs w:val="20"/>
              </w:rPr>
              <w:t xml:space="preserve">SBCTC’s </w:t>
            </w:r>
            <w:hyperlink r:id="rId36">
              <w:r w:rsidRPr="1CD27BE7">
                <w:rPr>
                  <w:rStyle w:val="Hyperlink"/>
                  <w:color w:val="auto"/>
                  <w:sz w:val="20"/>
                  <w:szCs w:val="20"/>
                </w:rPr>
                <w:t>PAR Guidelines</w:t>
              </w:r>
            </w:hyperlink>
          </w:p>
          <w:p w:rsidR="1CD27BE7" w:rsidP="1CD27BE7" w:rsidRDefault="1CD27BE7" w14:paraId="54FDC473" w14:textId="05772EC3">
            <w:pPr>
              <w:rPr>
                <w:sz w:val="20"/>
                <w:szCs w:val="20"/>
              </w:rPr>
            </w:pPr>
          </w:p>
        </w:tc>
        <w:tc>
          <w:tcPr>
            <w:tcW w:w="4892" w:type="dxa"/>
            <w:tcMar/>
          </w:tcPr>
          <w:p w:rsidR="1CD27BE7" w:rsidP="387747B4" w:rsidRDefault="387747B4" w14:paraId="2A1C8FF9" w14:textId="14938D1A">
            <w:pPr>
              <w:rPr>
                <w:sz w:val="20"/>
                <w:szCs w:val="20"/>
                <w:highlight w:val="yellow"/>
              </w:rPr>
            </w:pPr>
            <w:r w:rsidRPr="387747B4">
              <w:rPr>
                <w:sz w:val="20"/>
                <w:szCs w:val="20"/>
                <w:highlight w:val="yellow"/>
              </w:rPr>
              <w:t>[Discussion point: inconsistency use, little use...does this present an opp to better capture noncredit certs. Coding and consistency work to do here.]</w:t>
            </w:r>
          </w:p>
        </w:tc>
      </w:tr>
      <w:tr w:rsidR="1CD27BE7" w:rsidTr="68229EA2" w14:paraId="71534ECB" w14:textId="77777777">
        <w:trPr>
          <w:trHeight w:val="300"/>
        </w:trPr>
        <w:tc>
          <w:tcPr>
            <w:tcW w:w="1785" w:type="dxa"/>
            <w:tcMar/>
          </w:tcPr>
          <w:p w:rsidR="2FFB2AE5" w:rsidP="1CD27BE7" w:rsidRDefault="2FFB2AE5" w14:paraId="767752BF" w14:textId="27651675">
            <w:pPr>
              <w:rPr>
                <w:sz w:val="20"/>
                <w:szCs w:val="20"/>
              </w:rPr>
            </w:pPr>
            <w:r w:rsidRPr="1CD27BE7">
              <w:rPr>
                <w:sz w:val="20"/>
                <w:szCs w:val="20"/>
              </w:rPr>
              <w:t>Noncredit to credit pathways</w:t>
            </w:r>
          </w:p>
        </w:tc>
        <w:tc>
          <w:tcPr>
            <w:tcW w:w="5550" w:type="dxa"/>
            <w:tcMar/>
          </w:tcPr>
          <w:p w:rsidR="1ECD7DE8" w:rsidP="1CD27BE7" w:rsidRDefault="38C7B138" w14:paraId="11A5E0FE" w14:textId="2EB4656D">
            <w:pPr>
              <w:rPr>
                <w:sz w:val="20"/>
                <w:szCs w:val="20"/>
              </w:rPr>
            </w:pPr>
            <w:r w:rsidRPr="73C9BED2">
              <w:rPr>
                <w:sz w:val="20"/>
                <w:szCs w:val="20"/>
              </w:rPr>
              <w:t>Noncredit-to-credit pathways are structured routes that allow students to convert learning from noncredit</w:t>
            </w:r>
            <w:r w:rsidRPr="73C9BED2" w:rsidR="4C9D181C">
              <w:rPr>
                <w:sz w:val="20"/>
                <w:szCs w:val="20"/>
              </w:rPr>
              <w:t xml:space="preserve"> courses, </w:t>
            </w:r>
            <w:r w:rsidRPr="73C9BED2" w:rsidR="00D592CC">
              <w:rPr>
                <w:sz w:val="20"/>
                <w:szCs w:val="20"/>
              </w:rPr>
              <w:t>programs,</w:t>
            </w:r>
            <w:r w:rsidRPr="73C9BED2" w:rsidR="4C9D181C">
              <w:rPr>
                <w:sz w:val="20"/>
                <w:szCs w:val="20"/>
              </w:rPr>
              <w:t xml:space="preserve"> or trainings</w:t>
            </w:r>
            <w:r w:rsidRPr="73C9BED2">
              <w:rPr>
                <w:sz w:val="20"/>
                <w:szCs w:val="20"/>
              </w:rPr>
              <w:t xml:space="preserve"> into credits for degree programs.</w:t>
            </w:r>
          </w:p>
        </w:tc>
        <w:tc>
          <w:tcPr>
            <w:tcW w:w="2235" w:type="dxa"/>
            <w:tcMar/>
          </w:tcPr>
          <w:p w:rsidR="1ECD7DE8" w:rsidP="1CD27BE7" w:rsidRDefault="1ECD7DE8" w14:paraId="3290F46C" w14:textId="529B82E8">
            <w:pPr>
              <w:rPr>
                <w:sz w:val="20"/>
                <w:szCs w:val="20"/>
              </w:rPr>
            </w:pPr>
            <w:r w:rsidRPr="1CD27BE7">
              <w:rPr>
                <w:sz w:val="20"/>
                <w:szCs w:val="20"/>
              </w:rPr>
              <w:t xml:space="preserve">Compilation from various sources, including: </w:t>
            </w:r>
          </w:p>
          <w:p w:rsidR="26566F56" w:rsidP="1CD27BE7" w:rsidRDefault="26566F56" w14:paraId="0262A2D0" w14:textId="14205475">
            <w:pPr>
              <w:rPr>
                <w:sz w:val="20"/>
                <w:szCs w:val="20"/>
              </w:rPr>
            </w:pPr>
            <w:hyperlink r:id="rId37">
              <w:r w:rsidRPr="1CD27BE7">
                <w:rPr>
                  <w:rStyle w:val="Hyperlink"/>
                  <w:color w:val="auto"/>
                  <w:sz w:val="20"/>
                  <w:szCs w:val="20"/>
                </w:rPr>
                <w:t>Non-Credit to Credit Pathways to Higher Education</w:t>
              </w:r>
            </w:hyperlink>
            <w:r w:rsidRPr="1CD27BE7">
              <w:rPr>
                <w:sz w:val="20"/>
                <w:szCs w:val="20"/>
              </w:rPr>
              <w:t xml:space="preserve"> (UPCEA &amp; MindEdge)</w:t>
            </w:r>
          </w:p>
          <w:p w:rsidR="1CD27BE7" w:rsidP="1CD27BE7" w:rsidRDefault="1CD27BE7" w14:paraId="009FC3D3" w14:textId="3A023921">
            <w:pPr>
              <w:rPr>
                <w:sz w:val="20"/>
                <w:szCs w:val="20"/>
              </w:rPr>
            </w:pPr>
          </w:p>
          <w:p w:rsidR="500C7E44" w:rsidP="1CD27BE7" w:rsidRDefault="500C7E44" w14:paraId="2DCAA7BA" w14:textId="0E23F3CE">
            <w:pPr>
              <w:rPr>
                <w:sz w:val="20"/>
                <w:szCs w:val="20"/>
              </w:rPr>
            </w:pPr>
            <w:hyperlink r:id="rId38">
              <w:r w:rsidRPr="1CD27BE7">
                <w:rPr>
                  <w:rStyle w:val="Hyperlink"/>
                  <w:color w:val="auto"/>
                  <w:sz w:val="20"/>
                  <w:szCs w:val="20"/>
                </w:rPr>
                <w:t>A More Unified Community College</w:t>
              </w:r>
            </w:hyperlink>
            <w:r w:rsidRPr="1CD27BE7">
              <w:rPr>
                <w:sz w:val="20"/>
                <w:szCs w:val="20"/>
              </w:rPr>
              <w:t xml:space="preserve"> (Education Design Lab)</w:t>
            </w:r>
          </w:p>
        </w:tc>
        <w:tc>
          <w:tcPr>
            <w:tcW w:w="4892" w:type="dxa"/>
            <w:tcMar/>
          </w:tcPr>
          <w:p w:rsidR="1CD27BE7" w:rsidP="1CD27BE7" w:rsidRDefault="1CD27BE7" w14:paraId="68FCE66B" w14:textId="415BC202">
            <w:pPr>
              <w:rPr>
                <w:sz w:val="20"/>
                <w:szCs w:val="20"/>
              </w:rPr>
            </w:pPr>
          </w:p>
        </w:tc>
      </w:tr>
      <w:tr w:rsidR="6E3719F9" w:rsidTr="68229EA2" w14:paraId="22CE34B4" w14:textId="77777777">
        <w:trPr>
          <w:trHeight w:val="300"/>
        </w:trPr>
        <w:tc>
          <w:tcPr>
            <w:tcW w:w="1785" w:type="dxa"/>
            <w:tcMar/>
          </w:tcPr>
          <w:p w:rsidR="6E3719F9" w:rsidP="1CD27BE7" w:rsidRDefault="2FFB2AE5" w14:paraId="35AAD959" w14:textId="4A5490CA">
            <w:pPr>
              <w:rPr>
                <w:sz w:val="20"/>
                <w:szCs w:val="20"/>
              </w:rPr>
            </w:pPr>
            <w:r w:rsidRPr="1CD27BE7">
              <w:rPr>
                <w:sz w:val="20"/>
                <w:szCs w:val="20"/>
              </w:rPr>
              <w:t xml:space="preserve">Noncredit </w:t>
            </w:r>
          </w:p>
        </w:tc>
        <w:tc>
          <w:tcPr>
            <w:tcW w:w="5550" w:type="dxa"/>
            <w:tcMar/>
          </w:tcPr>
          <w:p w:rsidR="6E3719F9" w:rsidP="1CD27BE7" w:rsidRDefault="26B8260B" w14:paraId="0E6B1C7B" w14:textId="4C1E417E">
            <w:pPr>
              <w:rPr>
                <w:sz w:val="20"/>
                <w:szCs w:val="20"/>
              </w:rPr>
            </w:pPr>
            <w:r w:rsidRPr="54FCF601">
              <w:rPr>
                <w:sz w:val="20"/>
                <w:szCs w:val="20"/>
              </w:rPr>
              <w:t>Noncredit courses</w:t>
            </w:r>
            <w:r w:rsidRPr="54FCF601" w:rsidR="4E0734B9">
              <w:rPr>
                <w:sz w:val="20"/>
                <w:szCs w:val="20"/>
              </w:rPr>
              <w:t xml:space="preserve"> do not earn official academic credit toward a college degree or certificate.</w:t>
            </w:r>
          </w:p>
          <w:p w:rsidR="6E3719F9" w:rsidP="1CD27BE7" w:rsidRDefault="6E3719F9" w14:paraId="515D952A" w14:textId="4E1FFF07">
            <w:pPr>
              <w:rPr>
                <w:sz w:val="20"/>
                <w:szCs w:val="20"/>
              </w:rPr>
            </w:pPr>
          </w:p>
          <w:p w:rsidR="6E3719F9" w:rsidP="1CD27BE7" w:rsidRDefault="2068091F" w14:paraId="483F7FB1" w14:textId="71036F13">
            <w:pPr>
              <w:rPr>
                <w:sz w:val="20"/>
                <w:szCs w:val="20"/>
              </w:rPr>
            </w:pPr>
            <w:r w:rsidRPr="73C9BED2">
              <w:rPr>
                <w:sz w:val="20"/>
                <w:szCs w:val="20"/>
              </w:rPr>
              <w:t>Noncredi</w:t>
            </w:r>
            <w:r w:rsidRPr="73C9BED2" w:rsidR="6D15683D">
              <w:rPr>
                <w:sz w:val="20"/>
                <w:szCs w:val="20"/>
              </w:rPr>
              <w:t>t</w:t>
            </w:r>
            <w:r w:rsidRPr="73C9BED2">
              <w:rPr>
                <w:sz w:val="20"/>
                <w:szCs w:val="20"/>
              </w:rPr>
              <w:t xml:space="preserve"> programs fall into three major categories: adult basic education, workforce </w:t>
            </w:r>
            <w:r w:rsidRPr="73C9BED2" w:rsidR="6DF7635B">
              <w:rPr>
                <w:sz w:val="20"/>
                <w:szCs w:val="20"/>
              </w:rPr>
              <w:t>development,</w:t>
            </w:r>
            <w:r w:rsidRPr="73C9BED2">
              <w:rPr>
                <w:sz w:val="20"/>
                <w:szCs w:val="20"/>
              </w:rPr>
              <w:t xml:space="preserve"> and personal enrichment</w:t>
            </w:r>
            <w:r w:rsidRPr="73C9BED2" w:rsidR="2A463F74">
              <w:rPr>
                <w:sz w:val="20"/>
                <w:szCs w:val="20"/>
              </w:rPr>
              <w:t>.</w:t>
            </w:r>
          </w:p>
          <w:p w:rsidR="6E3719F9" w:rsidP="1CD27BE7" w:rsidRDefault="6E3719F9" w14:paraId="6E4D4D3F" w14:textId="7874646B">
            <w:pPr>
              <w:rPr>
                <w:sz w:val="20"/>
                <w:szCs w:val="20"/>
              </w:rPr>
            </w:pPr>
          </w:p>
          <w:p w:rsidR="6E3719F9" w:rsidP="54FCF601" w:rsidRDefault="478BBF67" w14:paraId="13058476" w14:textId="7C101626">
            <w:pPr>
              <w:rPr>
                <w:sz w:val="20"/>
                <w:szCs w:val="20"/>
              </w:rPr>
            </w:pPr>
            <w:r w:rsidRPr="54FCF601">
              <w:rPr>
                <w:sz w:val="20"/>
                <w:szCs w:val="20"/>
              </w:rPr>
              <w:t>Noncredit refers to a</w:t>
            </w:r>
            <w:r w:rsidRPr="54FCF601" w:rsidR="74EBB613">
              <w:rPr>
                <w:sz w:val="20"/>
                <w:szCs w:val="20"/>
              </w:rPr>
              <w:t>n activity or learning outcome earned outside of college credit</w:t>
            </w:r>
            <w:r w:rsidRPr="54FCF601" w:rsidR="05F2E3C3">
              <w:rPr>
                <w:sz w:val="20"/>
                <w:szCs w:val="20"/>
              </w:rPr>
              <w:t xml:space="preserve">, </w:t>
            </w:r>
            <w:r w:rsidRPr="54FCF601" w:rsidR="346D20C2">
              <w:rPr>
                <w:sz w:val="20"/>
                <w:szCs w:val="20"/>
              </w:rPr>
              <w:t>such as industry recognized credentials</w:t>
            </w:r>
            <w:r w:rsidRPr="54FCF601" w:rsidR="3442F0BA">
              <w:rPr>
                <w:sz w:val="20"/>
                <w:szCs w:val="20"/>
              </w:rPr>
              <w:t xml:space="preserve">, </w:t>
            </w:r>
            <w:r w:rsidRPr="54FCF601" w:rsidR="198CA185">
              <w:rPr>
                <w:sz w:val="20"/>
                <w:szCs w:val="20"/>
              </w:rPr>
              <w:t>apprenticeships</w:t>
            </w:r>
            <w:r w:rsidRPr="54FCF601" w:rsidR="3442F0BA">
              <w:rPr>
                <w:sz w:val="20"/>
                <w:szCs w:val="20"/>
              </w:rPr>
              <w:t xml:space="preserve">, </w:t>
            </w:r>
            <w:r w:rsidRPr="54FCF601" w:rsidR="4E1FF303">
              <w:rPr>
                <w:sz w:val="20"/>
                <w:szCs w:val="20"/>
              </w:rPr>
              <w:t xml:space="preserve">and </w:t>
            </w:r>
            <w:r w:rsidRPr="54FCF601" w:rsidR="3442F0BA">
              <w:rPr>
                <w:sz w:val="20"/>
                <w:szCs w:val="20"/>
              </w:rPr>
              <w:t>licenses</w:t>
            </w:r>
            <w:r w:rsidRPr="54FCF601" w:rsidR="0B1F5F96">
              <w:rPr>
                <w:sz w:val="20"/>
                <w:szCs w:val="20"/>
              </w:rPr>
              <w:t>.</w:t>
            </w:r>
          </w:p>
        </w:tc>
        <w:tc>
          <w:tcPr>
            <w:tcW w:w="2235" w:type="dxa"/>
            <w:tcMar/>
          </w:tcPr>
          <w:p w:rsidR="7BBF8BB3" w:rsidP="1CD27BE7" w:rsidRDefault="6A2CD3A8" w14:paraId="28349232" w14:textId="71034733">
            <w:pPr>
              <w:rPr>
                <w:sz w:val="20"/>
                <w:szCs w:val="20"/>
              </w:rPr>
            </w:pPr>
            <w:r w:rsidRPr="1CD27BE7">
              <w:rPr>
                <w:sz w:val="20"/>
                <w:szCs w:val="20"/>
              </w:rPr>
              <w:t>Multiple sources</w:t>
            </w:r>
          </w:p>
        </w:tc>
        <w:tc>
          <w:tcPr>
            <w:tcW w:w="4892" w:type="dxa"/>
            <w:tcMar/>
          </w:tcPr>
          <w:p w:rsidR="56239BF1" w:rsidP="56239BF1" w:rsidRDefault="56239BF1" w14:paraId="688632B8" w14:textId="439C517B">
            <w:pPr>
              <w:rPr>
                <w:sz w:val="20"/>
                <w:szCs w:val="20"/>
                <w:highlight w:val="yellow"/>
              </w:rPr>
            </w:pPr>
            <w:r w:rsidRPr="56239BF1" w:rsidR="56239BF1">
              <w:rPr>
                <w:sz w:val="20"/>
                <w:szCs w:val="20"/>
                <w:highlight w:val="yellow"/>
              </w:rPr>
              <w:t>Discussion point: Need to narrow the definition of noncredit specifically for the purpose and scope of this task force</w:t>
            </w:r>
          </w:p>
          <w:p w:rsidR="56239BF1" w:rsidP="56239BF1" w:rsidRDefault="56239BF1" w14:paraId="7DC43D1E" w14:textId="6A92ABAF">
            <w:pPr>
              <w:rPr>
                <w:sz w:val="20"/>
                <w:szCs w:val="20"/>
              </w:rPr>
            </w:pPr>
          </w:p>
          <w:p w:rsidR="6E3719F9" w:rsidP="1CD27BE7" w:rsidRDefault="39BB5604" w14:paraId="6A21A651" w14:textId="6A844077">
            <w:pPr>
              <w:rPr>
                <w:sz w:val="20"/>
                <w:szCs w:val="20"/>
              </w:rPr>
            </w:pPr>
            <w:r w:rsidRPr="54FCF601">
              <w:rPr>
                <w:sz w:val="20"/>
                <w:szCs w:val="20"/>
              </w:rPr>
              <w:t xml:space="preserve">Note: The National Postsecondary Education Cooperative (NPEC) recommends the term “noncredit” </w:t>
            </w:r>
            <w:r w:rsidRPr="54FCF601" w:rsidR="38DF5567">
              <w:rPr>
                <w:sz w:val="20"/>
                <w:szCs w:val="20"/>
              </w:rPr>
              <w:t xml:space="preserve">(no hyphen) </w:t>
            </w:r>
            <w:r w:rsidRPr="54FCF601">
              <w:rPr>
                <w:sz w:val="20"/>
                <w:szCs w:val="20"/>
              </w:rPr>
              <w:t>be used consistently (</w:t>
            </w:r>
            <w:hyperlink r:id="rId39">
              <w:r w:rsidRPr="54FCF601">
                <w:rPr>
                  <w:rStyle w:val="Hyperlink"/>
                  <w:color w:val="auto"/>
                  <w:sz w:val="20"/>
                  <w:szCs w:val="20"/>
                </w:rPr>
                <w:t>2019</w:t>
              </w:r>
            </w:hyperlink>
            <w:r w:rsidRPr="54FCF601">
              <w:rPr>
                <w:sz w:val="20"/>
                <w:szCs w:val="20"/>
              </w:rPr>
              <w:t>).</w:t>
            </w:r>
            <w:r w:rsidRPr="54FCF601" w:rsidR="1F540871">
              <w:rPr>
                <w:sz w:val="20"/>
                <w:szCs w:val="20"/>
              </w:rPr>
              <w:t xml:space="preserve"> </w:t>
            </w:r>
          </w:p>
          <w:p w:rsidR="6E3719F9" w:rsidP="1CD27BE7" w:rsidRDefault="6E3719F9" w14:paraId="546E27C5" w14:textId="799650F0">
            <w:pPr>
              <w:rPr>
                <w:sz w:val="20"/>
                <w:szCs w:val="20"/>
              </w:rPr>
            </w:pPr>
          </w:p>
          <w:p w:rsidR="6E3719F9" w:rsidP="1CD27BE7" w:rsidRDefault="1F540871" w14:paraId="73DFA818" w14:textId="73C27C2D">
            <w:pPr>
              <w:rPr>
                <w:sz w:val="20"/>
                <w:szCs w:val="20"/>
              </w:rPr>
            </w:pPr>
            <w:r w:rsidRPr="1CD27BE7">
              <w:rPr>
                <w:sz w:val="20"/>
                <w:szCs w:val="20"/>
              </w:rPr>
              <w:t>Suggested terms, such as vocational noncredit course, avocational noncredit course, and pre-collegiate noncredit course, would enable institutions to report noncredit enrollments in meaningful categories (</w:t>
            </w:r>
            <w:hyperlink r:id="rId40">
              <w:r w:rsidRPr="1CD27BE7">
                <w:rPr>
                  <w:rStyle w:val="Hyperlink"/>
                  <w:color w:val="auto"/>
                  <w:sz w:val="20"/>
                  <w:szCs w:val="20"/>
                </w:rPr>
                <w:t>2019</w:t>
              </w:r>
            </w:hyperlink>
            <w:r w:rsidRPr="1CD27BE7">
              <w:rPr>
                <w:sz w:val="20"/>
                <w:szCs w:val="20"/>
              </w:rPr>
              <w:t>).</w:t>
            </w:r>
          </w:p>
          <w:p w:rsidR="6E3719F9" w:rsidP="1CD27BE7" w:rsidRDefault="6E3719F9" w14:paraId="0266BF84" w14:textId="744B9099">
            <w:pPr>
              <w:rPr>
                <w:sz w:val="20"/>
                <w:szCs w:val="20"/>
              </w:rPr>
            </w:pPr>
          </w:p>
          <w:p w:rsidR="6E3719F9" w:rsidP="1CD27BE7" w:rsidRDefault="6F6BFFD1" w14:paraId="65A09986" w14:textId="651E7D4A">
            <w:pPr>
              <w:rPr>
                <w:sz w:val="20"/>
                <w:szCs w:val="20"/>
              </w:rPr>
            </w:pPr>
            <w:r w:rsidRPr="54FCF601">
              <w:rPr>
                <w:sz w:val="20"/>
                <w:szCs w:val="20"/>
              </w:rPr>
              <w:t>CtcLink: In UGRAD we do have some non-credit offered. In CNED, nothing should have credit attached.</w:t>
            </w:r>
            <w:r w:rsidRPr="54FCF601" w:rsidR="3D167B3E">
              <w:rPr>
                <w:sz w:val="20"/>
                <w:szCs w:val="20"/>
              </w:rPr>
              <w:t xml:space="preserve"> </w:t>
            </w:r>
          </w:p>
        </w:tc>
      </w:tr>
      <w:tr w:rsidR="1CD27BE7" w:rsidTr="68229EA2" w14:paraId="3ACF494A" w14:textId="77777777">
        <w:trPr>
          <w:trHeight w:val="300"/>
        </w:trPr>
        <w:tc>
          <w:tcPr>
            <w:tcW w:w="1785" w:type="dxa"/>
            <w:tcMar/>
          </w:tcPr>
          <w:p w:rsidR="2FFB2AE5" w:rsidP="1CD27BE7" w:rsidRDefault="2FFB2AE5" w14:paraId="79AB57A0" w14:textId="26188551">
            <w:pPr>
              <w:rPr>
                <w:sz w:val="20"/>
                <w:szCs w:val="20"/>
              </w:rPr>
            </w:pPr>
            <w:r w:rsidRPr="1CD27BE7">
              <w:rPr>
                <w:sz w:val="20"/>
                <w:szCs w:val="20"/>
              </w:rPr>
              <w:t>Personal enrichment</w:t>
            </w:r>
          </w:p>
        </w:tc>
        <w:tc>
          <w:tcPr>
            <w:tcW w:w="5550" w:type="dxa"/>
            <w:tcMar/>
          </w:tcPr>
          <w:p w:rsidR="44E135F4" w:rsidP="1CD27BE7" w:rsidRDefault="44E135F4" w14:paraId="0E9118F9" w14:textId="2E38FF8A">
            <w:pPr>
              <w:rPr>
                <w:sz w:val="20"/>
                <w:szCs w:val="20"/>
              </w:rPr>
            </w:pPr>
            <w:r w:rsidRPr="1CD27BE7">
              <w:rPr>
                <w:sz w:val="20"/>
                <w:szCs w:val="20"/>
              </w:rPr>
              <w:t>Personal enrichment encompasses offerings for personal growth outside formal degree/certificate programs, focusing on life skills, hobbies, or non-credit learning.</w:t>
            </w:r>
          </w:p>
        </w:tc>
        <w:tc>
          <w:tcPr>
            <w:tcW w:w="2235" w:type="dxa"/>
            <w:tcMar/>
          </w:tcPr>
          <w:p w:rsidR="7E0E78FD" w:rsidP="1CD27BE7" w:rsidRDefault="7E0E78FD" w14:paraId="1A6E8FA9" w14:textId="095D508D">
            <w:pPr>
              <w:rPr>
                <w:sz w:val="20"/>
                <w:szCs w:val="20"/>
              </w:rPr>
            </w:pPr>
            <w:r w:rsidRPr="1CD27BE7">
              <w:rPr>
                <w:sz w:val="20"/>
                <w:szCs w:val="20"/>
              </w:rPr>
              <w:t xml:space="preserve">SBCTC </w:t>
            </w:r>
            <w:hyperlink r:id="rId41">
              <w:r w:rsidRPr="1CD27BE7">
                <w:rPr>
                  <w:rStyle w:val="Hyperlink"/>
                  <w:color w:val="auto"/>
                  <w:sz w:val="20"/>
                  <w:szCs w:val="20"/>
                </w:rPr>
                <w:t>Continuing Education Coding Manual</w:t>
              </w:r>
            </w:hyperlink>
          </w:p>
        </w:tc>
        <w:tc>
          <w:tcPr>
            <w:tcW w:w="4892" w:type="dxa"/>
            <w:tcMar/>
          </w:tcPr>
          <w:p w:rsidR="288F55D3" w:rsidP="1CD27BE7" w:rsidRDefault="288F55D3" w14:paraId="35B642B4" w14:textId="0269CF1B">
            <w:pPr>
              <w:rPr>
                <w:sz w:val="20"/>
                <w:szCs w:val="20"/>
              </w:rPr>
            </w:pPr>
            <w:r w:rsidRPr="1CD27BE7">
              <w:rPr>
                <w:sz w:val="20"/>
                <w:szCs w:val="20"/>
              </w:rPr>
              <w:t>In ctcLink personal enrichment classes:</w:t>
            </w:r>
          </w:p>
          <w:p w:rsidR="288F55D3" w:rsidP="1CD27BE7" w:rsidRDefault="288F55D3" w14:paraId="239BFC6A" w14:textId="7830906B">
            <w:pPr>
              <w:pStyle w:val="ListParagraph"/>
              <w:numPr>
                <w:ilvl w:val="0"/>
                <w:numId w:val="4"/>
              </w:numPr>
              <w:rPr>
                <w:sz w:val="20"/>
                <w:szCs w:val="20"/>
              </w:rPr>
            </w:pPr>
            <w:r w:rsidRPr="1CD27BE7">
              <w:rPr>
                <w:sz w:val="20"/>
                <w:szCs w:val="20"/>
              </w:rPr>
              <w:t>Are coded in the CIP 36* series.</w:t>
            </w:r>
          </w:p>
          <w:p w:rsidR="288F55D3" w:rsidP="1CD27BE7" w:rsidRDefault="288F55D3" w14:paraId="40643E54" w14:textId="150A9507">
            <w:pPr>
              <w:pStyle w:val="ListParagraph"/>
              <w:numPr>
                <w:ilvl w:val="0"/>
                <w:numId w:val="4"/>
              </w:numPr>
              <w:rPr>
                <w:sz w:val="20"/>
                <w:szCs w:val="20"/>
              </w:rPr>
            </w:pPr>
            <w:r w:rsidRPr="1CD27BE7">
              <w:rPr>
                <w:sz w:val="20"/>
                <w:szCs w:val="20"/>
              </w:rPr>
              <w:t>Use the SINT value of PERSENRICH course intent</w:t>
            </w:r>
          </w:p>
        </w:tc>
      </w:tr>
      <w:tr w:rsidR="1CD27BE7" w:rsidTr="68229EA2" w14:paraId="7DA63D94" w14:textId="77777777">
        <w:trPr>
          <w:trHeight w:val="300"/>
        </w:trPr>
        <w:tc>
          <w:tcPr>
            <w:tcW w:w="1785" w:type="dxa"/>
            <w:tcMar/>
          </w:tcPr>
          <w:p w:rsidR="2FFB2AE5" w:rsidP="1CD27BE7" w:rsidRDefault="2FFB2AE5" w14:paraId="3E68D0C0" w14:textId="1A50D4F8">
            <w:pPr>
              <w:rPr>
                <w:sz w:val="20"/>
                <w:szCs w:val="20"/>
              </w:rPr>
            </w:pPr>
            <w:r w:rsidRPr="1CD27BE7">
              <w:rPr>
                <w:sz w:val="20"/>
                <w:szCs w:val="20"/>
              </w:rPr>
              <w:t>Prior learning assessment</w:t>
            </w:r>
          </w:p>
        </w:tc>
        <w:tc>
          <w:tcPr>
            <w:tcW w:w="5550" w:type="dxa"/>
            <w:tcMar/>
          </w:tcPr>
          <w:p w:rsidR="690D8106" w:rsidP="1CD27BE7" w:rsidRDefault="2378E80A" w14:paraId="06843EC4" w14:textId="1D3DF337">
            <w:pPr>
              <w:rPr>
                <w:sz w:val="20"/>
                <w:szCs w:val="20"/>
              </w:rPr>
            </w:pPr>
            <w:r w:rsidRPr="73C9BED2">
              <w:rPr>
                <w:sz w:val="20"/>
                <w:szCs w:val="20"/>
              </w:rPr>
              <w:t>See “academic credit for prior learning</w:t>
            </w:r>
            <w:r w:rsidRPr="73C9BED2" w:rsidR="1F181477">
              <w:rPr>
                <w:sz w:val="20"/>
                <w:szCs w:val="20"/>
              </w:rPr>
              <w:t>.</w:t>
            </w:r>
            <w:r w:rsidRPr="73C9BED2">
              <w:rPr>
                <w:sz w:val="20"/>
                <w:szCs w:val="20"/>
              </w:rPr>
              <w:t xml:space="preserve">” </w:t>
            </w:r>
          </w:p>
        </w:tc>
        <w:tc>
          <w:tcPr>
            <w:tcW w:w="2235" w:type="dxa"/>
            <w:tcMar/>
          </w:tcPr>
          <w:p w:rsidR="1CD27BE7" w:rsidP="1CD27BE7" w:rsidRDefault="1CD27BE7" w14:paraId="0BC78242" w14:textId="7DB91A6E">
            <w:pPr>
              <w:rPr>
                <w:sz w:val="20"/>
                <w:szCs w:val="20"/>
              </w:rPr>
            </w:pPr>
          </w:p>
        </w:tc>
        <w:tc>
          <w:tcPr>
            <w:tcW w:w="4892" w:type="dxa"/>
            <w:tcMar/>
          </w:tcPr>
          <w:p w:rsidR="7589726C" w:rsidP="1CD27BE7" w:rsidRDefault="7589726C" w14:paraId="3BE59AB7" w14:textId="163A74A0">
            <w:pPr>
              <w:rPr>
                <w:sz w:val="20"/>
                <w:szCs w:val="20"/>
              </w:rPr>
            </w:pPr>
            <w:r w:rsidRPr="1CD27BE7">
              <w:rPr>
                <w:sz w:val="20"/>
                <w:szCs w:val="20"/>
              </w:rPr>
              <w:t>Outdated; common use has shifted to “academic credit for prior learning.”</w:t>
            </w:r>
          </w:p>
        </w:tc>
      </w:tr>
      <w:tr w:rsidR="1CD27BE7" w:rsidTr="68229EA2" w14:paraId="0C8DAAB3" w14:textId="77777777">
        <w:trPr>
          <w:trHeight w:val="300"/>
        </w:trPr>
        <w:tc>
          <w:tcPr>
            <w:tcW w:w="1785" w:type="dxa"/>
            <w:tcMar/>
          </w:tcPr>
          <w:p w:rsidR="5CA3E9B6" w:rsidP="1CD27BE7" w:rsidRDefault="5CA3E9B6" w14:paraId="12889646" w14:textId="753371FC">
            <w:pPr>
              <w:rPr>
                <w:sz w:val="20"/>
                <w:szCs w:val="20"/>
              </w:rPr>
            </w:pPr>
            <w:r w:rsidRPr="1CD27BE7">
              <w:rPr>
                <w:sz w:val="20"/>
                <w:szCs w:val="20"/>
              </w:rPr>
              <w:t>Professional development</w:t>
            </w:r>
          </w:p>
        </w:tc>
        <w:tc>
          <w:tcPr>
            <w:tcW w:w="5550" w:type="dxa"/>
            <w:tcMar/>
          </w:tcPr>
          <w:p w:rsidR="147B6CE3" w:rsidP="1CD27BE7" w:rsidRDefault="42FF736D" w14:paraId="32187D1A" w14:textId="18032F73">
            <w:pPr>
              <w:rPr>
                <w:sz w:val="20"/>
                <w:szCs w:val="20"/>
              </w:rPr>
            </w:pPr>
            <w:r w:rsidRPr="54FCF601">
              <w:rPr>
                <w:sz w:val="20"/>
                <w:szCs w:val="20"/>
              </w:rPr>
              <w:t xml:space="preserve">Professional development encompasses </w:t>
            </w:r>
            <w:r w:rsidRPr="54FCF601" w:rsidR="7AA5CFD1">
              <w:rPr>
                <w:sz w:val="20"/>
                <w:szCs w:val="20"/>
              </w:rPr>
              <w:t xml:space="preserve">noncredit </w:t>
            </w:r>
            <w:r w:rsidRPr="54FCF601">
              <w:rPr>
                <w:sz w:val="20"/>
                <w:szCs w:val="20"/>
              </w:rPr>
              <w:t xml:space="preserve">offerings for individual growth of skills, </w:t>
            </w:r>
            <w:r w:rsidRPr="54FCF601" w:rsidR="7B7E8E95">
              <w:rPr>
                <w:sz w:val="20"/>
                <w:szCs w:val="20"/>
              </w:rPr>
              <w:t>knowledge,</w:t>
            </w:r>
            <w:r w:rsidRPr="54FCF601">
              <w:rPr>
                <w:sz w:val="20"/>
                <w:szCs w:val="20"/>
              </w:rPr>
              <w:t xml:space="preserve"> and competencies outside formal degree/certificate programs, focusing on occupation-specific </w:t>
            </w:r>
            <w:r w:rsidRPr="54FCF601" w:rsidR="0BEC7739">
              <w:rPr>
                <w:sz w:val="20"/>
                <w:szCs w:val="20"/>
              </w:rPr>
              <w:t xml:space="preserve">or task-specific </w:t>
            </w:r>
            <w:r w:rsidRPr="54FCF601">
              <w:rPr>
                <w:sz w:val="20"/>
                <w:szCs w:val="20"/>
              </w:rPr>
              <w:t xml:space="preserve">skills. </w:t>
            </w:r>
          </w:p>
        </w:tc>
        <w:tc>
          <w:tcPr>
            <w:tcW w:w="2235" w:type="dxa"/>
            <w:tcMar/>
          </w:tcPr>
          <w:p w:rsidR="48873060" w:rsidP="1CD27BE7" w:rsidRDefault="48873060" w14:paraId="41C586A4" w14:textId="1E808F1A">
            <w:pPr>
              <w:rPr>
                <w:sz w:val="20"/>
                <w:szCs w:val="20"/>
              </w:rPr>
            </w:pPr>
            <w:r w:rsidRPr="1CD27BE7">
              <w:rPr>
                <w:sz w:val="20"/>
                <w:szCs w:val="20"/>
              </w:rPr>
              <w:t xml:space="preserve">Compilation from various sources including: </w:t>
            </w:r>
          </w:p>
          <w:p w:rsidR="48873060" w:rsidP="1CD27BE7" w:rsidRDefault="48873060" w14:paraId="4B57C7E5" w14:textId="35C8E4B8">
            <w:pPr>
              <w:rPr>
                <w:sz w:val="20"/>
                <w:szCs w:val="20"/>
              </w:rPr>
            </w:pPr>
            <w:r w:rsidRPr="1CD27BE7">
              <w:rPr>
                <w:sz w:val="20"/>
                <w:szCs w:val="20"/>
              </w:rPr>
              <w:t xml:space="preserve">SBCTC </w:t>
            </w:r>
            <w:hyperlink r:id="rId42">
              <w:r w:rsidRPr="1CD27BE7">
                <w:rPr>
                  <w:rStyle w:val="Hyperlink"/>
                  <w:color w:val="auto"/>
                  <w:sz w:val="20"/>
                  <w:szCs w:val="20"/>
                </w:rPr>
                <w:t>Continuing Education Coding Manual</w:t>
              </w:r>
            </w:hyperlink>
          </w:p>
        </w:tc>
        <w:tc>
          <w:tcPr>
            <w:tcW w:w="4892" w:type="dxa"/>
            <w:tcMar/>
          </w:tcPr>
          <w:p w:rsidR="1CD27BE7" w:rsidP="1CD27BE7" w:rsidRDefault="1CD27BE7" w14:paraId="7238CE0B" w14:textId="183601C4">
            <w:pPr>
              <w:rPr>
                <w:sz w:val="20"/>
                <w:szCs w:val="20"/>
              </w:rPr>
            </w:pPr>
          </w:p>
        </w:tc>
      </w:tr>
      <w:tr w:rsidR="1CD27BE7" w:rsidTr="68229EA2" w14:paraId="5EA96CDD" w14:textId="77777777">
        <w:trPr>
          <w:trHeight w:val="300"/>
        </w:trPr>
        <w:tc>
          <w:tcPr>
            <w:tcW w:w="1785" w:type="dxa"/>
            <w:tcMar/>
          </w:tcPr>
          <w:p w:rsidR="4442080D" w:rsidP="1CD27BE7" w:rsidRDefault="4442080D" w14:paraId="3719FC05" w14:textId="723409F3">
            <w:pPr>
              <w:rPr>
                <w:sz w:val="20"/>
                <w:szCs w:val="20"/>
              </w:rPr>
            </w:pPr>
            <w:r w:rsidRPr="1CD27BE7">
              <w:rPr>
                <w:sz w:val="20"/>
                <w:szCs w:val="20"/>
              </w:rPr>
              <w:t>Professional-technical</w:t>
            </w:r>
          </w:p>
        </w:tc>
        <w:tc>
          <w:tcPr>
            <w:tcW w:w="5550" w:type="dxa"/>
            <w:tcMar/>
          </w:tcPr>
          <w:p w:rsidR="2209CAE0" w:rsidP="1CD27BE7" w:rsidRDefault="0CB84B75" w14:paraId="1CB73D5E" w14:textId="3798B112">
            <w:pPr>
              <w:rPr>
                <w:sz w:val="20"/>
                <w:szCs w:val="20"/>
              </w:rPr>
            </w:pPr>
            <w:r w:rsidRPr="54FCF601">
              <w:rPr>
                <w:sz w:val="20"/>
                <w:szCs w:val="20"/>
              </w:rPr>
              <w:t>Professional-technical refers to p</w:t>
            </w:r>
            <w:r w:rsidRPr="54FCF601" w:rsidR="2209CAE0">
              <w:rPr>
                <w:sz w:val="20"/>
                <w:szCs w:val="20"/>
              </w:rPr>
              <w:t xml:space="preserve">ostsecondary </w:t>
            </w:r>
            <w:r w:rsidRPr="54FCF601" w:rsidR="7FA0D671">
              <w:rPr>
                <w:sz w:val="20"/>
                <w:szCs w:val="20"/>
              </w:rPr>
              <w:t xml:space="preserve">instructional programs, </w:t>
            </w:r>
            <w:r w:rsidRPr="54FCF601" w:rsidR="2209CAE0">
              <w:rPr>
                <w:sz w:val="20"/>
                <w:szCs w:val="20"/>
              </w:rPr>
              <w:t>certificates and degrees that lead individuals directly to employment in a specific occupation</w:t>
            </w:r>
            <w:r w:rsidRPr="54FCF601" w:rsidR="64231976">
              <w:rPr>
                <w:sz w:val="20"/>
                <w:szCs w:val="20"/>
              </w:rPr>
              <w:t xml:space="preserve"> or skilled field</w:t>
            </w:r>
            <w:r w:rsidRPr="54FCF601" w:rsidR="2209CAE0">
              <w:rPr>
                <w:sz w:val="20"/>
                <w:szCs w:val="20"/>
              </w:rPr>
              <w:t>.</w:t>
            </w:r>
          </w:p>
        </w:tc>
        <w:tc>
          <w:tcPr>
            <w:tcW w:w="2235" w:type="dxa"/>
            <w:tcMar/>
          </w:tcPr>
          <w:p w:rsidR="2209CAE0" w:rsidP="1CD27BE7" w:rsidRDefault="2209CAE0" w14:paraId="6A9D38BD" w14:textId="43F0FF3C">
            <w:pPr>
              <w:rPr>
                <w:sz w:val="20"/>
                <w:szCs w:val="20"/>
              </w:rPr>
            </w:pPr>
            <w:r w:rsidRPr="1CD27BE7">
              <w:rPr>
                <w:sz w:val="20"/>
                <w:szCs w:val="20"/>
              </w:rPr>
              <w:t xml:space="preserve">Compilation from SBCTC’s </w:t>
            </w:r>
            <w:hyperlink r:id="rId43">
              <w:r w:rsidRPr="1CD27BE7">
                <w:rPr>
                  <w:rStyle w:val="Hyperlink"/>
                  <w:color w:val="auto"/>
                  <w:sz w:val="20"/>
                  <w:szCs w:val="20"/>
                </w:rPr>
                <w:t>PAR Guidelines</w:t>
              </w:r>
            </w:hyperlink>
            <w:r w:rsidRPr="1CD27BE7">
              <w:rPr>
                <w:sz w:val="20"/>
                <w:szCs w:val="20"/>
              </w:rPr>
              <w:t xml:space="preserve"> and </w:t>
            </w:r>
            <w:hyperlink r:id="rId44">
              <w:r w:rsidRPr="1CD27BE7">
                <w:rPr>
                  <w:rStyle w:val="Hyperlink"/>
                  <w:color w:val="auto"/>
                  <w:sz w:val="20"/>
                  <w:szCs w:val="20"/>
                </w:rPr>
                <w:t>RCW 28B.50.140</w:t>
              </w:r>
            </w:hyperlink>
          </w:p>
        </w:tc>
        <w:tc>
          <w:tcPr>
            <w:tcW w:w="4892" w:type="dxa"/>
            <w:tcMar/>
          </w:tcPr>
          <w:p w:rsidR="1CD27BE7" w:rsidP="1CD27BE7" w:rsidRDefault="1CD27BE7" w14:paraId="06DF79BD" w14:textId="0C176672">
            <w:pPr>
              <w:rPr>
                <w:sz w:val="20"/>
                <w:szCs w:val="20"/>
              </w:rPr>
            </w:pPr>
          </w:p>
        </w:tc>
      </w:tr>
      <w:tr w:rsidR="1CD27BE7" w:rsidTr="68229EA2" w14:paraId="69082E14" w14:textId="77777777">
        <w:trPr>
          <w:trHeight w:val="300"/>
        </w:trPr>
        <w:tc>
          <w:tcPr>
            <w:tcW w:w="1785" w:type="dxa"/>
            <w:tcMar/>
          </w:tcPr>
          <w:p w:rsidR="096FFD87" w:rsidP="1CD27BE7" w:rsidRDefault="096FFD87" w14:paraId="05422234" w14:textId="2B8497E7">
            <w:pPr>
              <w:rPr>
                <w:sz w:val="20"/>
                <w:szCs w:val="20"/>
              </w:rPr>
            </w:pPr>
            <w:r w:rsidRPr="1CD27BE7">
              <w:rPr>
                <w:sz w:val="20"/>
                <w:szCs w:val="20"/>
              </w:rPr>
              <w:t>Self-support</w:t>
            </w:r>
          </w:p>
        </w:tc>
        <w:tc>
          <w:tcPr>
            <w:tcW w:w="5550" w:type="dxa"/>
            <w:tcMar/>
          </w:tcPr>
          <w:p w:rsidR="096FFD87" w:rsidP="1CD27BE7" w:rsidRDefault="20AFDE5D" w14:paraId="16CC0E1A" w14:textId="3F56014E">
            <w:pPr>
              <w:rPr>
                <w:sz w:val="20"/>
                <w:szCs w:val="20"/>
              </w:rPr>
            </w:pPr>
            <w:r w:rsidRPr="20AFDE5D">
              <w:rPr>
                <w:sz w:val="20"/>
                <w:szCs w:val="20"/>
              </w:rPr>
              <w:t xml:space="preserve">See “student-funded.” </w:t>
            </w:r>
          </w:p>
        </w:tc>
        <w:tc>
          <w:tcPr>
            <w:tcW w:w="2235" w:type="dxa"/>
            <w:tcMar/>
          </w:tcPr>
          <w:p w:rsidR="1CD27BE7" w:rsidP="1CD27BE7" w:rsidRDefault="1CD27BE7" w14:paraId="3B2BAD93" w14:textId="4F8C5040">
            <w:pPr>
              <w:rPr>
                <w:sz w:val="20"/>
                <w:szCs w:val="20"/>
              </w:rPr>
            </w:pPr>
          </w:p>
        </w:tc>
        <w:tc>
          <w:tcPr>
            <w:tcW w:w="4892" w:type="dxa"/>
            <w:tcMar/>
          </w:tcPr>
          <w:p w:rsidR="1CD27BE7" w:rsidP="1CD27BE7" w:rsidRDefault="1CD27BE7" w14:paraId="12BB8EFB" w14:textId="003AD666">
            <w:pPr>
              <w:rPr>
                <w:sz w:val="20"/>
                <w:szCs w:val="20"/>
              </w:rPr>
            </w:pPr>
          </w:p>
        </w:tc>
      </w:tr>
      <w:tr w:rsidR="73C9BED2" w:rsidTr="68229EA2" w14:paraId="25FD456A" w14:textId="77777777">
        <w:trPr>
          <w:trHeight w:val="300"/>
        </w:trPr>
        <w:tc>
          <w:tcPr>
            <w:tcW w:w="1785" w:type="dxa"/>
            <w:tcMar/>
          </w:tcPr>
          <w:p w:rsidR="6BF057C4" w:rsidP="73C9BED2" w:rsidRDefault="6BF057C4" w14:paraId="47233E62" w14:textId="37EE3623">
            <w:pPr>
              <w:rPr>
                <w:sz w:val="20"/>
                <w:szCs w:val="20"/>
              </w:rPr>
            </w:pPr>
            <w:r w:rsidRPr="73C9BED2">
              <w:rPr>
                <w:sz w:val="20"/>
                <w:szCs w:val="20"/>
              </w:rPr>
              <w:t>Short-term credentials</w:t>
            </w:r>
          </w:p>
        </w:tc>
        <w:tc>
          <w:tcPr>
            <w:tcW w:w="5550" w:type="dxa"/>
            <w:tcMar/>
          </w:tcPr>
          <w:p w:rsidR="10407DB5" w:rsidP="73C9BED2" w:rsidRDefault="10407DB5" w14:paraId="61FF14B6" w14:textId="2C304180">
            <w:pPr>
              <w:rPr>
                <w:sz w:val="20"/>
                <w:szCs w:val="20"/>
              </w:rPr>
            </w:pPr>
            <w:r w:rsidRPr="54FCF601">
              <w:rPr>
                <w:sz w:val="20"/>
                <w:szCs w:val="20"/>
              </w:rPr>
              <w:t>Short-term credentials</w:t>
            </w:r>
            <w:r w:rsidRPr="54FCF601" w:rsidR="2C0657C2">
              <w:rPr>
                <w:sz w:val="20"/>
                <w:szCs w:val="20"/>
              </w:rPr>
              <w:t xml:space="preserve"> consist of 2 major subtypes: certificates and certifications.</w:t>
            </w:r>
            <w:r w:rsidRPr="54FCF601">
              <w:rPr>
                <w:sz w:val="20"/>
                <w:szCs w:val="20"/>
              </w:rPr>
              <w:t xml:space="preserve"> </w:t>
            </w:r>
            <w:r w:rsidRPr="54FCF601" w:rsidR="63E35D80">
              <w:rPr>
                <w:sz w:val="20"/>
                <w:szCs w:val="20"/>
              </w:rPr>
              <w:t>They i</w:t>
            </w:r>
            <w:r w:rsidRPr="54FCF601">
              <w:rPr>
                <w:sz w:val="20"/>
                <w:szCs w:val="20"/>
              </w:rPr>
              <w:t>nclude sub-associate degree college-level certificates and industry-recognized certifications</w:t>
            </w:r>
            <w:r w:rsidRPr="54FCF601" w:rsidR="525F736E">
              <w:rPr>
                <w:sz w:val="20"/>
                <w:szCs w:val="20"/>
              </w:rPr>
              <w:t xml:space="preserve"> that take less time and expense than degrees. </w:t>
            </w:r>
          </w:p>
          <w:p w:rsidR="73C9BED2" w:rsidP="73C9BED2" w:rsidRDefault="73C9BED2" w14:paraId="340DCB92" w14:textId="78672CEB">
            <w:pPr>
              <w:rPr>
                <w:sz w:val="20"/>
                <w:szCs w:val="20"/>
              </w:rPr>
            </w:pPr>
          </w:p>
          <w:p w:rsidR="525F736E" w:rsidP="73C9BED2" w:rsidRDefault="525F736E" w14:paraId="5BD33CC7" w14:textId="49A76194">
            <w:pPr>
              <w:rPr>
                <w:sz w:val="20"/>
                <w:szCs w:val="20"/>
              </w:rPr>
            </w:pPr>
            <w:r w:rsidRPr="54FCF601">
              <w:rPr>
                <w:sz w:val="20"/>
                <w:szCs w:val="20"/>
              </w:rPr>
              <w:t xml:space="preserve"> </w:t>
            </w:r>
          </w:p>
        </w:tc>
        <w:tc>
          <w:tcPr>
            <w:tcW w:w="2235" w:type="dxa"/>
            <w:tcMar/>
          </w:tcPr>
          <w:p w:rsidR="525F736E" w:rsidP="73C9BED2" w:rsidRDefault="525F736E" w14:paraId="65E2870E" w14:textId="145DA717">
            <w:pPr>
              <w:rPr>
                <w:sz w:val="20"/>
                <w:szCs w:val="20"/>
              </w:rPr>
            </w:pPr>
            <w:hyperlink r:id="rId45">
              <w:r w:rsidRPr="73C9BED2">
                <w:rPr>
                  <w:rStyle w:val="Hyperlink"/>
                  <w:sz w:val="20"/>
                  <w:szCs w:val="20"/>
                </w:rPr>
                <w:t>Short-term Credentials: A vital measure of post-high school educational attainment in the United States,</w:t>
              </w:r>
            </w:hyperlink>
            <w:r w:rsidRPr="73C9BED2">
              <w:rPr>
                <w:sz w:val="20"/>
                <w:szCs w:val="20"/>
              </w:rPr>
              <w:t xml:space="preserve"> </w:t>
            </w:r>
          </w:p>
          <w:p w:rsidR="525F736E" w:rsidP="73C9BED2" w:rsidRDefault="525F736E" w14:paraId="1EC2E000" w14:textId="423CD1FC">
            <w:pPr>
              <w:rPr>
                <w:sz w:val="20"/>
                <w:szCs w:val="20"/>
              </w:rPr>
            </w:pPr>
            <w:r w:rsidRPr="73C9BED2">
              <w:rPr>
                <w:sz w:val="20"/>
                <w:szCs w:val="20"/>
              </w:rPr>
              <w:t>Lumina</w:t>
            </w:r>
          </w:p>
        </w:tc>
        <w:tc>
          <w:tcPr>
            <w:tcW w:w="4892" w:type="dxa"/>
            <w:tcMar/>
          </w:tcPr>
          <w:p w:rsidR="73C9BED2" w:rsidP="56239BF1" w:rsidRDefault="73C9BED2" w14:paraId="23313BAB" w14:textId="09923A10">
            <w:pPr>
              <w:rPr>
                <w:sz w:val="20"/>
                <w:szCs w:val="20"/>
                <w:highlight w:val="yellow"/>
              </w:rPr>
            </w:pPr>
            <w:r w:rsidRPr="56239BF1" w:rsidR="56239BF1">
              <w:rPr>
                <w:sz w:val="20"/>
                <w:szCs w:val="20"/>
                <w:highlight w:val="yellow"/>
              </w:rPr>
              <w:t>Discussion Point: Will WF Pell change this definition?</w:t>
            </w:r>
          </w:p>
        </w:tc>
      </w:tr>
      <w:tr w:rsidR="6E3719F9" w:rsidTr="68229EA2" w14:paraId="64226778" w14:textId="77777777">
        <w:trPr>
          <w:trHeight w:val="300"/>
        </w:trPr>
        <w:tc>
          <w:tcPr>
            <w:tcW w:w="1785" w:type="dxa"/>
            <w:tcMar/>
          </w:tcPr>
          <w:p w:rsidR="6E3719F9" w:rsidP="1CD27BE7" w:rsidRDefault="2FFB2AE5" w14:paraId="6CF582C2" w14:textId="77027F4D">
            <w:pPr>
              <w:rPr>
                <w:sz w:val="20"/>
                <w:szCs w:val="20"/>
              </w:rPr>
            </w:pPr>
            <w:r w:rsidRPr="1CD27BE7">
              <w:rPr>
                <w:sz w:val="20"/>
                <w:szCs w:val="20"/>
              </w:rPr>
              <w:t>Stackable credentials</w:t>
            </w:r>
          </w:p>
        </w:tc>
        <w:tc>
          <w:tcPr>
            <w:tcW w:w="5550" w:type="dxa"/>
            <w:tcMar/>
          </w:tcPr>
          <w:p w:rsidR="6E3719F9" w:rsidP="1CD27BE7" w:rsidRDefault="5D1D4A29" w14:paraId="05786FBF" w14:textId="494929DB">
            <w:pPr>
              <w:rPr>
                <w:sz w:val="20"/>
                <w:szCs w:val="20"/>
              </w:rPr>
            </w:pPr>
            <w:r w:rsidRPr="54FCF601">
              <w:rPr>
                <w:sz w:val="20"/>
                <w:szCs w:val="20"/>
              </w:rPr>
              <w:t>Stackable credentials are c</w:t>
            </w:r>
            <w:r w:rsidRPr="54FCF601" w:rsidR="719BA6C5">
              <w:rPr>
                <w:sz w:val="20"/>
                <w:szCs w:val="20"/>
              </w:rPr>
              <w:t xml:space="preserve">ertificates </w:t>
            </w:r>
            <w:r w:rsidRPr="54FCF601" w:rsidR="6431B3B8">
              <w:rPr>
                <w:sz w:val="20"/>
                <w:szCs w:val="20"/>
              </w:rPr>
              <w:t xml:space="preserve">awarded by educational institutions </w:t>
            </w:r>
            <w:r w:rsidRPr="54FCF601" w:rsidR="719BA6C5">
              <w:rPr>
                <w:sz w:val="20"/>
                <w:szCs w:val="20"/>
              </w:rPr>
              <w:t>designed to build on top of each other and eventually lead to a longer-term certificate or degree.</w:t>
            </w:r>
          </w:p>
        </w:tc>
        <w:tc>
          <w:tcPr>
            <w:tcW w:w="2235" w:type="dxa"/>
            <w:tcMar/>
          </w:tcPr>
          <w:p w:rsidR="49DE5D41" w:rsidP="1CD27BE7" w:rsidRDefault="719BA6C5" w14:paraId="701FCC5E" w14:textId="6153748F">
            <w:pPr>
              <w:rPr>
                <w:sz w:val="20"/>
                <w:szCs w:val="20"/>
              </w:rPr>
            </w:pPr>
            <w:r w:rsidRPr="1CD27BE7">
              <w:rPr>
                <w:sz w:val="20"/>
                <w:szCs w:val="20"/>
              </w:rPr>
              <w:t>State Board website: Types of Degrees and Certificates, Professional-Technical Certificates</w:t>
            </w:r>
          </w:p>
        </w:tc>
        <w:tc>
          <w:tcPr>
            <w:tcW w:w="4892" w:type="dxa"/>
            <w:tcMar/>
          </w:tcPr>
          <w:p w:rsidR="6E3719F9" w:rsidP="1CD27BE7" w:rsidRDefault="7B3244B0" w14:paraId="4FFA2CC2" w14:textId="0399375F">
            <w:pPr>
              <w:rPr>
                <w:sz w:val="20"/>
                <w:szCs w:val="20"/>
              </w:rPr>
            </w:pPr>
            <w:r w:rsidRPr="1CD27BE7">
              <w:rPr>
                <w:sz w:val="20"/>
                <w:szCs w:val="20"/>
              </w:rPr>
              <w:t xml:space="preserve">More detail from </w:t>
            </w:r>
            <w:hyperlink r:id="rId46">
              <w:r w:rsidRPr="1CD27BE7">
                <w:rPr>
                  <w:rStyle w:val="Hyperlink"/>
                  <w:color w:val="auto"/>
                  <w:sz w:val="20"/>
                  <w:szCs w:val="20"/>
                </w:rPr>
                <w:t>SBCTC Draft Working Definitions for Micro-credentials and Micro-pathways:</w:t>
              </w:r>
            </w:hyperlink>
          </w:p>
          <w:p w:rsidR="6E3719F9" w:rsidP="1CD27BE7" w:rsidRDefault="7E01FB06" w14:paraId="23475596" w14:textId="58E68E67">
            <w:pPr>
              <w:rPr>
                <w:sz w:val="20"/>
                <w:szCs w:val="20"/>
              </w:rPr>
            </w:pPr>
            <w:r w:rsidRPr="1CD27BE7">
              <w:rPr>
                <w:sz w:val="20"/>
                <w:szCs w:val="20"/>
              </w:rPr>
              <w:t>Focused certifications that learners can earn modularly over time and combine to enhance their qualifications. Each credential represents a specific skill or knowledge area, and together, they lead to, or “stack” toward, a more comprehensive certification, degree, or other verification of job readiness.</w:t>
            </w:r>
          </w:p>
        </w:tc>
      </w:tr>
      <w:tr w:rsidR="1CD27BE7" w:rsidTr="68229EA2" w14:paraId="15CF6F32" w14:textId="77777777">
        <w:trPr>
          <w:trHeight w:val="300"/>
        </w:trPr>
        <w:tc>
          <w:tcPr>
            <w:tcW w:w="1785" w:type="dxa"/>
            <w:tcMar/>
          </w:tcPr>
          <w:p w:rsidR="096FFD87" w:rsidP="1CD27BE7" w:rsidRDefault="096FFD87" w14:paraId="3E3839EA" w14:textId="79DB4ABD">
            <w:pPr>
              <w:rPr>
                <w:sz w:val="20"/>
                <w:szCs w:val="20"/>
              </w:rPr>
            </w:pPr>
            <w:r w:rsidRPr="1CD27BE7">
              <w:rPr>
                <w:sz w:val="20"/>
                <w:szCs w:val="20"/>
              </w:rPr>
              <w:t>Student-funded</w:t>
            </w:r>
          </w:p>
        </w:tc>
        <w:tc>
          <w:tcPr>
            <w:tcW w:w="5550" w:type="dxa"/>
            <w:tcMar/>
          </w:tcPr>
          <w:p w:rsidR="096FFD87" w:rsidP="1CD27BE7" w:rsidRDefault="096FFD87" w14:paraId="1EE8531A" w14:textId="3FB2BCBD">
            <w:pPr>
              <w:rPr>
                <w:sz w:val="20"/>
                <w:szCs w:val="20"/>
              </w:rPr>
            </w:pPr>
            <w:r w:rsidRPr="56239BF1" w:rsidR="56239BF1">
              <w:rPr>
                <w:sz w:val="20"/>
                <w:szCs w:val="20"/>
              </w:rPr>
              <w:t>Student-funded or self-support courses are funded entirely through fees paid by the students enrolled in them (or employer-paid). Examples of student-funded courses include personal enrichment, parent education, and professional certifications such as human resources, project management, and IT software.</w:t>
            </w:r>
          </w:p>
        </w:tc>
        <w:tc>
          <w:tcPr>
            <w:tcW w:w="2235" w:type="dxa"/>
            <w:tcMar/>
          </w:tcPr>
          <w:p w:rsidR="096FFD87" w:rsidP="1CD27BE7" w:rsidRDefault="096FFD87" w14:paraId="7C90BE5F" w14:textId="0FB3C0C8">
            <w:pPr>
              <w:rPr>
                <w:sz w:val="20"/>
                <w:szCs w:val="20"/>
              </w:rPr>
            </w:pPr>
            <w:r w:rsidRPr="1CD27BE7">
              <w:rPr>
                <w:sz w:val="20"/>
                <w:szCs w:val="20"/>
              </w:rPr>
              <w:t xml:space="preserve">SBCTC Website: </w:t>
            </w:r>
            <w:hyperlink r:id="rId47">
              <w:r w:rsidRPr="1CD27BE7">
                <w:rPr>
                  <w:rStyle w:val="Hyperlink"/>
                  <w:color w:val="auto"/>
                  <w:sz w:val="20"/>
                  <w:szCs w:val="20"/>
                </w:rPr>
                <w:t>Communication and News, Key Data Points and Terminology</w:t>
              </w:r>
            </w:hyperlink>
          </w:p>
        </w:tc>
        <w:tc>
          <w:tcPr>
            <w:tcW w:w="4892" w:type="dxa"/>
            <w:tcMar/>
          </w:tcPr>
          <w:p w:rsidR="1CD27BE7" w:rsidP="1CD27BE7" w:rsidRDefault="1CD27BE7" w14:paraId="67A86FDF" w14:textId="07AB378B">
            <w:pPr>
              <w:rPr>
                <w:sz w:val="20"/>
                <w:szCs w:val="20"/>
              </w:rPr>
            </w:pPr>
            <w:r w:rsidRPr="56239BF1" w:rsidR="56239BF1">
              <w:rPr>
                <w:sz w:val="20"/>
                <w:szCs w:val="20"/>
              </w:rPr>
              <w:t xml:space="preserve">Student-funded courses do not generate FTEs or enrollments for the purposes of the state allocation model. </w:t>
            </w:r>
          </w:p>
        </w:tc>
      </w:tr>
      <w:tr w:rsidR="49DE5D41" w:rsidTr="68229EA2" w14:paraId="6AEDE4E4" w14:textId="77777777">
        <w:trPr>
          <w:trHeight w:val="300"/>
        </w:trPr>
        <w:tc>
          <w:tcPr>
            <w:tcW w:w="1785" w:type="dxa"/>
            <w:tcMar/>
          </w:tcPr>
          <w:p w:rsidR="49DE5D41" w:rsidP="1CD27BE7" w:rsidRDefault="65496B72" w14:paraId="285BC9FB" w14:textId="67EDCE0F">
            <w:pPr>
              <w:rPr>
                <w:sz w:val="20"/>
                <w:szCs w:val="20"/>
              </w:rPr>
            </w:pPr>
            <w:r w:rsidRPr="1CD27BE7">
              <w:rPr>
                <w:sz w:val="20"/>
                <w:szCs w:val="20"/>
              </w:rPr>
              <w:t>Workforce education</w:t>
            </w:r>
          </w:p>
        </w:tc>
        <w:tc>
          <w:tcPr>
            <w:tcW w:w="5550" w:type="dxa"/>
            <w:tcMar/>
          </w:tcPr>
          <w:p w:rsidR="49DE5D41" w:rsidP="1CD27BE7" w:rsidRDefault="0251457D" w14:paraId="1092547F" w14:textId="13A093B8">
            <w:pPr>
              <w:rPr>
                <w:sz w:val="20"/>
                <w:szCs w:val="20"/>
              </w:rPr>
            </w:pPr>
            <w:r w:rsidRPr="56239BF1" w:rsidR="56239BF1">
              <w:rPr>
                <w:sz w:val="20"/>
                <w:szCs w:val="20"/>
              </w:rPr>
              <w:t xml:space="preserve">Workforce education (and training) consists of postsecondary instructional programs that result in learners gaining skills, knowledge, and competencies to succeed in the labor market while meeting employer needs. </w:t>
            </w:r>
          </w:p>
        </w:tc>
        <w:tc>
          <w:tcPr>
            <w:tcW w:w="2235" w:type="dxa"/>
            <w:tcMar/>
          </w:tcPr>
          <w:p w:rsidR="49DE5D41" w:rsidP="1CD27BE7" w:rsidRDefault="4C3DACB1" w14:paraId="0C245188" w14:textId="628ED9AA">
            <w:pPr>
              <w:rPr>
                <w:sz w:val="20"/>
                <w:szCs w:val="20"/>
              </w:rPr>
            </w:pPr>
            <w:r w:rsidRPr="1CD27BE7">
              <w:rPr>
                <w:sz w:val="20"/>
                <w:szCs w:val="20"/>
              </w:rPr>
              <w:t>SBCTC website</w:t>
            </w:r>
          </w:p>
          <w:p w:rsidR="49DE5D41" w:rsidP="1CD27BE7" w:rsidRDefault="4C3DACB1" w14:paraId="615D8722" w14:textId="30727489">
            <w:pPr>
              <w:rPr>
                <w:sz w:val="20"/>
                <w:szCs w:val="20"/>
              </w:rPr>
            </w:pPr>
            <w:r w:rsidRPr="1CD27BE7">
              <w:rPr>
                <w:sz w:val="20"/>
                <w:szCs w:val="20"/>
              </w:rPr>
              <w:t>SBCTC Policy Manual</w:t>
            </w:r>
          </w:p>
        </w:tc>
        <w:tc>
          <w:tcPr>
            <w:tcW w:w="4892" w:type="dxa"/>
            <w:tcMar/>
          </w:tcPr>
          <w:p w:rsidR="49DE5D41" w:rsidP="1CD27BE7" w:rsidRDefault="4442080D" w14:paraId="0A24EDB7" w14:textId="5580B0BA">
            <w:pPr>
              <w:rPr>
                <w:sz w:val="20"/>
                <w:szCs w:val="20"/>
              </w:rPr>
            </w:pPr>
            <w:r w:rsidRPr="1CD27BE7">
              <w:rPr>
                <w:sz w:val="20"/>
                <w:szCs w:val="20"/>
              </w:rPr>
              <w:t>While “workforce education” connotes a broader, less formal definition that “professional-technical education” it is often used synonymously with professional-technical education and training in the CTC system and at SBCTC</w:t>
            </w:r>
          </w:p>
        </w:tc>
      </w:tr>
    </w:tbl>
    <w:p w:rsidR="6E3719F9" w:rsidP="1CD27BE7" w:rsidRDefault="30578BF5" w14:paraId="0583B2DE" w14:textId="156DF511">
      <w:pPr>
        <w:spacing w:after="0" w:line="240" w:lineRule="auto"/>
      </w:pPr>
      <w:r>
        <w:t xml:space="preserve">Note: In some instances, definitions derived from multiple sources include AI </w:t>
      </w:r>
      <w:r w:rsidR="35A340F8">
        <w:t xml:space="preserve">synthesis and edits for clarity and parsimony. </w:t>
      </w:r>
    </w:p>
    <w:p w:rsidR="7B4E730F" w:rsidP="1CD27BE7" w:rsidRDefault="2C0DD405" w14:paraId="14B83378" w14:textId="61E52388">
      <w:pPr>
        <w:spacing w:after="0" w:line="240" w:lineRule="auto"/>
        <w:rPr>
          <w:sz w:val="18"/>
          <w:szCs w:val="18"/>
        </w:rPr>
      </w:pPr>
      <w:r w:rsidRPr="1CD27BE7">
        <w:rPr>
          <w:sz w:val="20"/>
          <w:szCs w:val="20"/>
        </w:rPr>
        <w:t>Resources:</w:t>
      </w:r>
    </w:p>
    <w:p w:rsidR="7B4E730F" w:rsidP="1CD27BE7" w:rsidRDefault="2C0DD405" w14:paraId="3CCC3F62" w14:textId="2D20DCEC">
      <w:pPr>
        <w:spacing w:after="0" w:line="240" w:lineRule="auto"/>
        <w:rPr>
          <w:sz w:val="18"/>
          <w:szCs w:val="18"/>
        </w:rPr>
      </w:pPr>
      <w:hyperlink w:anchor=":~:text=In%20August%202023%2C%20UPCEA%20polled,%2C%20and%20other%20(11%25" r:id="rId48">
        <w:r w:rsidRPr="1CD27BE7">
          <w:rPr>
            <w:rStyle w:val="Hyperlink"/>
            <w:sz w:val="20"/>
            <w:szCs w:val="20"/>
          </w:rPr>
          <w:t>https://upcea.edu/why-credential-terminology-matters-in-higher-education-and-workforce-development/#:~:text=In%20August%202023%2C%20UPCEA%20polled,%2C%20and%20other%20(11%25</w:t>
        </w:r>
      </w:hyperlink>
      <w:r w:rsidRPr="1CD27BE7">
        <w:rPr>
          <w:sz w:val="20"/>
          <w:szCs w:val="20"/>
        </w:rPr>
        <w:t>).</w:t>
      </w:r>
    </w:p>
    <w:p w:rsidR="49DE5D41" w:rsidP="1CD27BE7" w:rsidRDefault="2C0DD405" w14:paraId="5CF56191" w14:textId="41FB5920">
      <w:pPr>
        <w:spacing w:after="0" w:line="240" w:lineRule="auto"/>
        <w:rPr>
          <w:sz w:val="20"/>
          <w:szCs w:val="20"/>
        </w:rPr>
      </w:pPr>
      <w:hyperlink r:id="rId49">
        <w:r w:rsidRPr="1CD27BE7">
          <w:rPr>
            <w:rStyle w:val="Hyperlink"/>
            <w:rFonts w:ascii="Aptos" w:hAnsi="Aptos" w:eastAsia="Aptos" w:cs="Aptos"/>
          </w:rPr>
          <w:t>https://nces.ed.gov/ipeds/pdf/NPEC/data/NPEC_Paper_Noncredit_Enrollment_and_Related_Activities.pdf</w:t>
        </w:r>
      </w:hyperlink>
    </w:p>
    <w:p w:rsidR="1FC5A753" w:rsidP="1FC5A753" w:rsidRDefault="1FC5A753" w14:paraId="3986BE2A" w14:textId="66B4C774">
      <w:pPr>
        <w:spacing w:after="0" w:line="240" w:lineRule="auto"/>
        <w:rPr>
          <w:rFonts w:ascii="Aptos" w:hAnsi="Aptos" w:eastAsia="Aptos" w:cs="Aptos"/>
        </w:rPr>
      </w:pPr>
    </w:p>
    <w:p w:rsidR="49DE5D41" w:rsidP="1CD27BE7" w:rsidRDefault="1FC5A753" w14:paraId="55365B1B" w14:textId="510E4692">
      <w:pPr>
        <w:spacing w:after="0" w:line="240" w:lineRule="auto"/>
        <w:rPr>
          <w:rFonts w:ascii="Aptos" w:hAnsi="Aptos" w:eastAsia="Aptos" w:cs="Aptos"/>
        </w:rPr>
      </w:pPr>
      <w:r w:rsidRPr="56239BF1" w:rsidR="56239BF1">
        <w:rPr>
          <w:rFonts w:ascii="Segoe UI" w:hAnsi="Segoe UI" w:eastAsia="Segoe UI" w:cs="Segoe UI"/>
        </w:rPr>
        <w:t>Professional CE's and Journeyman (car/license)</w:t>
      </w:r>
    </w:p>
    <w:p w:rsidR="56239BF1" w:rsidP="56239BF1" w:rsidRDefault="56239BF1" w14:paraId="29F60FD9" w14:textId="6FF60087">
      <w:pPr>
        <w:spacing w:after="0" w:line="240" w:lineRule="auto"/>
        <w:rPr>
          <w:rFonts w:ascii="Segoe UI" w:hAnsi="Segoe UI" w:eastAsia="Segoe UI" w:cs="Segoe UI"/>
        </w:rPr>
      </w:pPr>
    </w:p>
    <w:p w:rsidR="56239BF1" w:rsidP="56239BF1" w:rsidRDefault="56239BF1" w14:paraId="454647E5" w14:textId="4C9B750B">
      <w:pPr>
        <w:spacing w:after="0" w:line="240" w:lineRule="auto"/>
        <w:rPr>
          <w:rFonts w:ascii="Segoe UI" w:hAnsi="Segoe UI" w:eastAsia="Segoe UI" w:cs="Segoe UI"/>
          <w:highlight w:val="yellow"/>
        </w:rPr>
      </w:pPr>
      <w:r w:rsidRPr="56239BF1" w:rsidR="56239BF1">
        <w:rPr>
          <w:rFonts w:ascii="Segoe UI" w:hAnsi="Segoe UI" w:eastAsia="Segoe UI" w:cs="Segoe UI"/>
          <w:highlight w:val="yellow"/>
        </w:rPr>
        <w:t xml:space="preserve">Discussion point: differentiating certificates, micro-credentials, etc because the use of those terms </w:t>
      </w:r>
      <w:r w:rsidRPr="56239BF1" w:rsidR="56239BF1">
        <w:rPr>
          <w:rFonts w:ascii="Segoe UI" w:hAnsi="Segoe UI" w:eastAsia="Segoe UI" w:cs="Segoe UI"/>
          <w:highlight w:val="yellow"/>
        </w:rPr>
        <w:t>are</w:t>
      </w:r>
      <w:r w:rsidRPr="56239BF1" w:rsidR="56239BF1">
        <w:rPr>
          <w:rFonts w:ascii="Segoe UI" w:hAnsi="Segoe UI" w:eastAsia="Segoe UI" w:cs="Segoe UI"/>
          <w:highlight w:val="yellow"/>
        </w:rPr>
        <w:t xml:space="preserve"> blurred a bit. Beth, Mike.</w:t>
      </w:r>
    </w:p>
    <w:sectPr w:rsidR="49DE5D41">
      <w:headerReference w:type="default" r:id="rId50"/>
      <w:footerReference w:type="default" r:id="rId5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7CD7" w:rsidRDefault="00207CD7" w14:paraId="3C6863F0" w14:textId="77777777">
      <w:pPr>
        <w:spacing w:after="0" w:line="240" w:lineRule="auto"/>
      </w:pPr>
      <w:r>
        <w:separator/>
      </w:r>
    </w:p>
  </w:endnote>
  <w:endnote w:type="continuationSeparator" w:id="0">
    <w:p w:rsidR="00207CD7" w:rsidRDefault="00207CD7" w14:paraId="1704C46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800"/>
      <w:gridCol w:w="4800"/>
      <w:gridCol w:w="4800"/>
    </w:tblGrid>
    <w:tr w:rsidR="73C9BED2" w:rsidTr="54FCF601" w14:paraId="1EB578D0" w14:textId="77777777">
      <w:trPr>
        <w:trHeight w:val="300"/>
      </w:trPr>
      <w:tc>
        <w:tcPr>
          <w:tcW w:w="4800" w:type="dxa"/>
        </w:tcPr>
        <w:p w:rsidR="73C9BED2" w:rsidP="73C9BED2" w:rsidRDefault="73C9BED2" w14:paraId="6C3F2C5E" w14:textId="2E32ADBA">
          <w:pPr>
            <w:pStyle w:val="Header"/>
            <w:ind w:left="-115"/>
          </w:pPr>
        </w:p>
      </w:tc>
      <w:tc>
        <w:tcPr>
          <w:tcW w:w="4800" w:type="dxa"/>
        </w:tcPr>
        <w:p w:rsidR="73C9BED2" w:rsidP="73C9BED2" w:rsidRDefault="73C9BED2" w14:paraId="6699F247" w14:textId="4E02FE86">
          <w:pPr>
            <w:pStyle w:val="Header"/>
            <w:jc w:val="center"/>
          </w:pPr>
        </w:p>
      </w:tc>
      <w:tc>
        <w:tcPr>
          <w:tcW w:w="4800" w:type="dxa"/>
        </w:tcPr>
        <w:p w:rsidR="73C9BED2" w:rsidP="73C9BED2" w:rsidRDefault="73C9BED2" w14:paraId="4F72A8EF" w14:textId="47360189">
          <w:pPr>
            <w:pStyle w:val="Header"/>
            <w:ind w:right="-115"/>
            <w:jc w:val="right"/>
          </w:pPr>
          <w:r>
            <w:fldChar w:fldCharType="begin"/>
          </w:r>
          <w:r>
            <w:instrText>PAGE</w:instrText>
          </w:r>
          <w:r>
            <w:fldChar w:fldCharType="separate"/>
          </w:r>
          <w:r w:rsidR="00537BF5">
            <w:rPr>
              <w:noProof/>
            </w:rPr>
            <w:t>1</w:t>
          </w:r>
          <w:r>
            <w:fldChar w:fldCharType="end"/>
          </w:r>
        </w:p>
      </w:tc>
    </w:tr>
  </w:tbl>
  <w:p w:rsidR="73C9BED2" w:rsidP="73C9BED2" w:rsidRDefault="73C9BED2" w14:paraId="2EDF203B" w14:textId="66FD6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7CD7" w:rsidRDefault="00207CD7" w14:paraId="0F2C27BC" w14:textId="77777777">
      <w:pPr>
        <w:spacing w:after="0" w:line="240" w:lineRule="auto"/>
      </w:pPr>
      <w:r>
        <w:separator/>
      </w:r>
    </w:p>
  </w:footnote>
  <w:footnote w:type="continuationSeparator" w:id="0">
    <w:p w:rsidR="00207CD7" w:rsidRDefault="00207CD7" w14:paraId="277BC99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399" w:type="dxa"/>
      <w:tblLook w:val="06A0" w:firstRow="1" w:lastRow="0" w:firstColumn="1" w:lastColumn="0" w:noHBand="1" w:noVBand="1"/>
    </w:tblPr>
    <w:tblGrid>
      <w:gridCol w:w="4543"/>
      <w:gridCol w:w="4118"/>
      <w:gridCol w:w="5738"/>
    </w:tblGrid>
    <w:tr w:rsidR="73C9BED2" w:rsidTr="68229EA2" w14:paraId="5453F6DF" w14:textId="77777777">
      <w:trPr>
        <w:trHeight w:val="300"/>
      </w:trPr>
      <w:tc>
        <w:tcPr>
          <w:tcW w:w="4543" w:type="dxa"/>
          <w:tcMar/>
        </w:tcPr>
        <w:p w:rsidR="73C9BED2" w:rsidP="54FCF601" w:rsidRDefault="54FCF601" w14:paraId="7C93E325" w14:textId="0DCD93F6">
          <w:pPr>
            <w:spacing w:after="0" w:line="240" w:lineRule="auto"/>
            <w:rPr>
              <w:b w:val="0"/>
              <w:bCs w:val="0"/>
            </w:rPr>
          </w:pPr>
          <w:r w:rsidR="68229EA2">
            <w:rPr>
              <w:b w:val="0"/>
              <w:bCs w:val="0"/>
            </w:rPr>
            <w:t>Noncredit Task Force</w:t>
          </w:r>
        </w:p>
        <w:p w:rsidR="73C9BED2" w:rsidP="54FCF601" w:rsidRDefault="54FCF601" w14:paraId="73C58A7A" w14:textId="65B27C87">
          <w:pPr>
            <w:spacing w:after="0" w:line="240" w:lineRule="auto"/>
            <w:rPr>
              <w:b w:val="0"/>
              <w:bCs w:val="0"/>
            </w:rPr>
          </w:pPr>
          <w:r w:rsidR="68229EA2">
            <w:rPr>
              <w:b w:val="0"/>
              <w:bCs w:val="0"/>
            </w:rPr>
            <w:t>Common Definitions</w:t>
          </w:r>
        </w:p>
        <w:p w:rsidR="73C9BED2" w:rsidP="68229EA2" w:rsidRDefault="54FCF601" w14:paraId="2792F1BB" w14:textId="37A861B8">
          <w:pPr>
            <w:rPr>
              <w:b w:val="1"/>
              <w:bCs w:val="1"/>
            </w:rPr>
          </w:pPr>
          <w:r w:rsidRPr="68229EA2" w:rsidR="68229EA2">
            <w:rPr>
              <w:b w:val="1"/>
              <w:bCs w:val="1"/>
            </w:rPr>
            <w:t>DRAFT 12/10/25 - WORK IN PROGRESS</w:t>
          </w:r>
        </w:p>
      </w:tc>
      <w:tc>
        <w:tcPr>
          <w:tcW w:w="4118" w:type="dxa"/>
          <w:tcMar/>
        </w:tcPr>
        <w:p w:rsidR="73C9BED2" w:rsidP="73C9BED2" w:rsidRDefault="73C9BED2" w14:paraId="1FC82425" w14:textId="19088DB3">
          <w:pPr>
            <w:pStyle w:val="Header"/>
            <w:jc w:val="center"/>
          </w:pPr>
        </w:p>
      </w:tc>
      <w:tc>
        <w:tcPr>
          <w:tcW w:w="5738" w:type="dxa"/>
          <w:tcMar/>
        </w:tcPr>
        <w:p w:rsidR="73C9BED2" w:rsidP="54FCF601" w:rsidRDefault="54FCF601" w14:paraId="13715F21" w14:textId="3AEBE3CA">
          <w:pPr>
            <w:spacing w:after="0" w:line="240" w:lineRule="auto"/>
          </w:pPr>
          <w:r w:rsidR="68229EA2">
            <w:rPr/>
            <w:t>Washington Community and Technical College System</w:t>
          </w:r>
        </w:p>
        <w:p w:rsidR="68229EA2" w:rsidP="68229EA2" w:rsidRDefault="68229EA2" w14:paraId="3FDD64A1" w14:textId="7B11AAFA">
          <w:pPr>
            <w:spacing w:after="0" w:line="240" w:lineRule="auto"/>
          </w:pPr>
          <w:r w:rsidR="68229EA2">
            <w:rPr/>
            <w:t xml:space="preserve">Contact: Carolyn McKinnon, SBCTC, </w:t>
          </w:r>
          <w:hyperlink r:id="Rdab241836620450b">
            <w:r w:rsidRPr="68229EA2" w:rsidR="68229EA2">
              <w:rPr>
                <w:rStyle w:val="Hyperlink"/>
              </w:rPr>
              <w:t>cmckinnon@sbctc.edu</w:t>
            </w:r>
          </w:hyperlink>
          <w:r w:rsidR="68229EA2">
            <w:rPr/>
            <w:t xml:space="preserve"> </w:t>
          </w:r>
        </w:p>
        <w:p w:rsidR="73C9BED2" w:rsidP="73C9BED2" w:rsidRDefault="73C9BED2" w14:paraId="1FA0CA44" w14:textId="4D0F35E0">
          <w:pPr>
            <w:pStyle w:val="Header"/>
            <w:ind w:right="-115"/>
            <w:jc w:val="right"/>
          </w:pPr>
        </w:p>
      </w:tc>
    </w:tr>
  </w:tbl>
  <w:p w:rsidR="73C9BED2" w:rsidP="73C9BED2" w:rsidRDefault="73C9BED2" w14:paraId="04357BE8" w14:textId="24FDC779">
    <w:pPr>
      <w:pStyle w:val="Header"/>
    </w:pPr>
  </w:p>
</w:hdr>
</file>

<file path=word/intelligence2.xml><?xml version="1.0" encoding="utf-8"?>
<int2:intelligence xmlns:int2="http://schemas.microsoft.com/office/intelligence/2020/intelligence" xmlns:oel="http://schemas.microsoft.com/office/2019/extlst">
  <int2:observations>
    <int2:textHash int2:hashCode="NqTOiKDD8VVDbW" int2:id="9u8ILqC4">
      <int2:state int2:value="Rejected" int2:type="spell"/>
    </int2:textHash>
    <int2:bookmark int2:bookmarkName="_Int_NchgKxta" int2:invalidationBookmarkName="" int2:hashCode="heBSgsC5vRoUv4" int2:id="9sN6Luhx">
      <int2:state int2:value="Rejected" int2:type="style"/>
    </int2:bookmark>
    <int2:bookmark int2:bookmarkName="_Int_mqGIOvpM" int2:invalidationBookmarkName="" int2:hashCode="rxDvIN2QYLvurQ" int2:id="RD3rcNzx">
      <int2:state int2:value="Rejected" int2:type="gram"/>
    </int2:bookmark>
    <int2:bookmark int2:bookmarkName="_Int_hAlFFGkb" int2:invalidationBookmarkName="" int2:hashCode="Jw0qhqpfS+cFIN" int2:id="vd4RdrO3">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60C0"/>
    <w:multiLevelType w:val="hybridMultilevel"/>
    <w:tmpl w:val="75F00EAC"/>
    <w:lvl w:ilvl="0" w:tplc="1A162158">
      <w:start w:val="1"/>
      <w:numFmt w:val="bullet"/>
      <w:lvlText w:val=""/>
      <w:lvlJc w:val="left"/>
      <w:pPr>
        <w:ind w:left="570" w:hanging="360"/>
      </w:pPr>
      <w:rPr>
        <w:rFonts w:hint="default" w:ascii="Symbol" w:hAnsi="Symbol"/>
      </w:rPr>
    </w:lvl>
    <w:lvl w:ilvl="1" w:tplc="B0E26F68">
      <w:start w:val="1"/>
      <w:numFmt w:val="bullet"/>
      <w:lvlText w:val="o"/>
      <w:lvlJc w:val="left"/>
      <w:pPr>
        <w:ind w:left="1290" w:hanging="360"/>
      </w:pPr>
      <w:rPr>
        <w:rFonts w:hint="default" w:ascii="Courier New" w:hAnsi="Courier New"/>
      </w:rPr>
    </w:lvl>
    <w:lvl w:ilvl="2" w:tplc="8B444AD6">
      <w:start w:val="1"/>
      <w:numFmt w:val="bullet"/>
      <w:lvlText w:val=""/>
      <w:lvlJc w:val="left"/>
      <w:pPr>
        <w:ind w:left="2010" w:hanging="360"/>
      </w:pPr>
      <w:rPr>
        <w:rFonts w:hint="default" w:ascii="Wingdings" w:hAnsi="Wingdings"/>
      </w:rPr>
    </w:lvl>
    <w:lvl w:ilvl="3" w:tplc="4ED2612E">
      <w:start w:val="1"/>
      <w:numFmt w:val="bullet"/>
      <w:lvlText w:val=""/>
      <w:lvlJc w:val="left"/>
      <w:pPr>
        <w:ind w:left="2730" w:hanging="360"/>
      </w:pPr>
      <w:rPr>
        <w:rFonts w:hint="default" w:ascii="Symbol" w:hAnsi="Symbol"/>
      </w:rPr>
    </w:lvl>
    <w:lvl w:ilvl="4" w:tplc="A5A65178">
      <w:start w:val="1"/>
      <w:numFmt w:val="bullet"/>
      <w:lvlText w:val="o"/>
      <w:lvlJc w:val="left"/>
      <w:pPr>
        <w:ind w:left="3450" w:hanging="360"/>
      </w:pPr>
      <w:rPr>
        <w:rFonts w:hint="default" w:ascii="Courier New" w:hAnsi="Courier New"/>
      </w:rPr>
    </w:lvl>
    <w:lvl w:ilvl="5" w:tplc="FD149594">
      <w:start w:val="1"/>
      <w:numFmt w:val="bullet"/>
      <w:lvlText w:val=""/>
      <w:lvlJc w:val="left"/>
      <w:pPr>
        <w:ind w:left="4170" w:hanging="360"/>
      </w:pPr>
      <w:rPr>
        <w:rFonts w:hint="default" w:ascii="Wingdings" w:hAnsi="Wingdings"/>
      </w:rPr>
    </w:lvl>
    <w:lvl w:ilvl="6" w:tplc="E91A3ECC">
      <w:start w:val="1"/>
      <w:numFmt w:val="bullet"/>
      <w:lvlText w:val=""/>
      <w:lvlJc w:val="left"/>
      <w:pPr>
        <w:ind w:left="4890" w:hanging="360"/>
      </w:pPr>
      <w:rPr>
        <w:rFonts w:hint="default" w:ascii="Symbol" w:hAnsi="Symbol"/>
      </w:rPr>
    </w:lvl>
    <w:lvl w:ilvl="7" w:tplc="9B244428">
      <w:start w:val="1"/>
      <w:numFmt w:val="bullet"/>
      <w:lvlText w:val="o"/>
      <w:lvlJc w:val="left"/>
      <w:pPr>
        <w:ind w:left="5610" w:hanging="360"/>
      </w:pPr>
      <w:rPr>
        <w:rFonts w:hint="default" w:ascii="Courier New" w:hAnsi="Courier New"/>
      </w:rPr>
    </w:lvl>
    <w:lvl w:ilvl="8" w:tplc="45AE75AC">
      <w:start w:val="1"/>
      <w:numFmt w:val="bullet"/>
      <w:lvlText w:val=""/>
      <w:lvlJc w:val="left"/>
      <w:pPr>
        <w:ind w:left="6330" w:hanging="360"/>
      </w:pPr>
      <w:rPr>
        <w:rFonts w:hint="default" w:ascii="Wingdings" w:hAnsi="Wingdings"/>
      </w:rPr>
    </w:lvl>
  </w:abstractNum>
  <w:abstractNum w:abstractNumId="1" w15:restartNumberingAfterBreak="0">
    <w:nsid w:val="0FCAE68E"/>
    <w:multiLevelType w:val="hybridMultilevel"/>
    <w:tmpl w:val="7618E14A"/>
    <w:lvl w:ilvl="0" w:tplc="545A5F7C">
      <w:start w:val="1"/>
      <w:numFmt w:val="bullet"/>
      <w:lvlText w:val=""/>
      <w:lvlJc w:val="left"/>
      <w:pPr>
        <w:ind w:left="720" w:hanging="360"/>
      </w:pPr>
      <w:rPr>
        <w:rFonts w:hint="default" w:ascii="Symbol" w:hAnsi="Symbol"/>
      </w:rPr>
    </w:lvl>
    <w:lvl w:ilvl="1" w:tplc="708C2296">
      <w:start w:val="1"/>
      <w:numFmt w:val="bullet"/>
      <w:lvlText w:val="o"/>
      <w:lvlJc w:val="left"/>
      <w:pPr>
        <w:ind w:left="1440" w:hanging="360"/>
      </w:pPr>
      <w:rPr>
        <w:rFonts w:hint="default" w:ascii="Courier New" w:hAnsi="Courier New"/>
      </w:rPr>
    </w:lvl>
    <w:lvl w:ilvl="2" w:tplc="1A42BDEC">
      <w:start w:val="1"/>
      <w:numFmt w:val="bullet"/>
      <w:lvlText w:val=""/>
      <w:lvlJc w:val="left"/>
      <w:pPr>
        <w:ind w:left="2160" w:hanging="360"/>
      </w:pPr>
      <w:rPr>
        <w:rFonts w:hint="default" w:ascii="Wingdings" w:hAnsi="Wingdings"/>
      </w:rPr>
    </w:lvl>
    <w:lvl w:ilvl="3" w:tplc="9C6A19F6">
      <w:start w:val="1"/>
      <w:numFmt w:val="bullet"/>
      <w:lvlText w:val=""/>
      <w:lvlJc w:val="left"/>
      <w:pPr>
        <w:ind w:left="2880" w:hanging="360"/>
      </w:pPr>
      <w:rPr>
        <w:rFonts w:hint="default" w:ascii="Symbol" w:hAnsi="Symbol"/>
      </w:rPr>
    </w:lvl>
    <w:lvl w:ilvl="4" w:tplc="7480BABE">
      <w:start w:val="1"/>
      <w:numFmt w:val="bullet"/>
      <w:lvlText w:val="o"/>
      <w:lvlJc w:val="left"/>
      <w:pPr>
        <w:ind w:left="3600" w:hanging="360"/>
      </w:pPr>
      <w:rPr>
        <w:rFonts w:hint="default" w:ascii="Courier New" w:hAnsi="Courier New"/>
      </w:rPr>
    </w:lvl>
    <w:lvl w:ilvl="5" w:tplc="8BCCB9E6">
      <w:start w:val="1"/>
      <w:numFmt w:val="bullet"/>
      <w:lvlText w:val=""/>
      <w:lvlJc w:val="left"/>
      <w:pPr>
        <w:ind w:left="4320" w:hanging="360"/>
      </w:pPr>
      <w:rPr>
        <w:rFonts w:hint="default" w:ascii="Wingdings" w:hAnsi="Wingdings"/>
      </w:rPr>
    </w:lvl>
    <w:lvl w:ilvl="6" w:tplc="5CFCB256">
      <w:start w:val="1"/>
      <w:numFmt w:val="bullet"/>
      <w:lvlText w:val=""/>
      <w:lvlJc w:val="left"/>
      <w:pPr>
        <w:ind w:left="5040" w:hanging="360"/>
      </w:pPr>
      <w:rPr>
        <w:rFonts w:hint="default" w:ascii="Symbol" w:hAnsi="Symbol"/>
      </w:rPr>
    </w:lvl>
    <w:lvl w:ilvl="7" w:tplc="403CBB7E">
      <w:start w:val="1"/>
      <w:numFmt w:val="bullet"/>
      <w:lvlText w:val="o"/>
      <w:lvlJc w:val="left"/>
      <w:pPr>
        <w:ind w:left="5760" w:hanging="360"/>
      </w:pPr>
      <w:rPr>
        <w:rFonts w:hint="default" w:ascii="Courier New" w:hAnsi="Courier New"/>
      </w:rPr>
    </w:lvl>
    <w:lvl w:ilvl="8" w:tplc="6FAEC172">
      <w:start w:val="1"/>
      <w:numFmt w:val="bullet"/>
      <w:lvlText w:val=""/>
      <w:lvlJc w:val="left"/>
      <w:pPr>
        <w:ind w:left="6480" w:hanging="360"/>
      </w:pPr>
      <w:rPr>
        <w:rFonts w:hint="default" w:ascii="Wingdings" w:hAnsi="Wingdings"/>
      </w:rPr>
    </w:lvl>
  </w:abstractNum>
  <w:abstractNum w:abstractNumId="2" w15:restartNumberingAfterBreak="0">
    <w:nsid w:val="147449F1"/>
    <w:multiLevelType w:val="hybridMultilevel"/>
    <w:tmpl w:val="F176D6D0"/>
    <w:lvl w:ilvl="0" w:tplc="7A708E06">
      <w:start w:val="1"/>
      <w:numFmt w:val="bullet"/>
      <w:lvlText w:val=""/>
      <w:lvlJc w:val="left"/>
      <w:pPr>
        <w:ind w:left="720" w:hanging="360"/>
      </w:pPr>
      <w:rPr>
        <w:rFonts w:hint="default" w:ascii="Symbol" w:hAnsi="Symbol"/>
      </w:rPr>
    </w:lvl>
    <w:lvl w:ilvl="1" w:tplc="1D60635E">
      <w:start w:val="1"/>
      <w:numFmt w:val="bullet"/>
      <w:lvlText w:val="o"/>
      <w:lvlJc w:val="left"/>
      <w:pPr>
        <w:ind w:left="1440" w:hanging="360"/>
      </w:pPr>
      <w:rPr>
        <w:rFonts w:hint="default" w:ascii="Courier New" w:hAnsi="Courier New"/>
      </w:rPr>
    </w:lvl>
    <w:lvl w:ilvl="2" w:tplc="8262882C">
      <w:start w:val="1"/>
      <w:numFmt w:val="bullet"/>
      <w:lvlText w:val=""/>
      <w:lvlJc w:val="left"/>
      <w:pPr>
        <w:ind w:left="2160" w:hanging="360"/>
      </w:pPr>
      <w:rPr>
        <w:rFonts w:hint="default" w:ascii="Wingdings" w:hAnsi="Wingdings"/>
      </w:rPr>
    </w:lvl>
    <w:lvl w:ilvl="3" w:tplc="78CC8E72">
      <w:start w:val="1"/>
      <w:numFmt w:val="bullet"/>
      <w:lvlText w:val=""/>
      <w:lvlJc w:val="left"/>
      <w:pPr>
        <w:ind w:left="2880" w:hanging="360"/>
      </w:pPr>
      <w:rPr>
        <w:rFonts w:hint="default" w:ascii="Symbol" w:hAnsi="Symbol"/>
      </w:rPr>
    </w:lvl>
    <w:lvl w:ilvl="4" w:tplc="4EBC027A">
      <w:start w:val="1"/>
      <w:numFmt w:val="bullet"/>
      <w:lvlText w:val="o"/>
      <w:lvlJc w:val="left"/>
      <w:pPr>
        <w:ind w:left="3600" w:hanging="360"/>
      </w:pPr>
      <w:rPr>
        <w:rFonts w:hint="default" w:ascii="Courier New" w:hAnsi="Courier New"/>
      </w:rPr>
    </w:lvl>
    <w:lvl w:ilvl="5" w:tplc="57A26670">
      <w:start w:val="1"/>
      <w:numFmt w:val="bullet"/>
      <w:lvlText w:val=""/>
      <w:lvlJc w:val="left"/>
      <w:pPr>
        <w:ind w:left="4320" w:hanging="360"/>
      </w:pPr>
      <w:rPr>
        <w:rFonts w:hint="default" w:ascii="Wingdings" w:hAnsi="Wingdings"/>
      </w:rPr>
    </w:lvl>
    <w:lvl w:ilvl="6" w:tplc="62C81F04">
      <w:start w:val="1"/>
      <w:numFmt w:val="bullet"/>
      <w:lvlText w:val=""/>
      <w:lvlJc w:val="left"/>
      <w:pPr>
        <w:ind w:left="5040" w:hanging="360"/>
      </w:pPr>
      <w:rPr>
        <w:rFonts w:hint="default" w:ascii="Symbol" w:hAnsi="Symbol"/>
      </w:rPr>
    </w:lvl>
    <w:lvl w:ilvl="7" w:tplc="2BD4DE94">
      <w:start w:val="1"/>
      <w:numFmt w:val="bullet"/>
      <w:lvlText w:val="o"/>
      <w:lvlJc w:val="left"/>
      <w:pPr>
        <w:ind w:left="5760" w:hanging="360"/>
      </w:pPr>
      <w:rPr>
        <w:rFonts w:hint="default" w:ascii="Courier New" w:hAnsi="Courier New"/>
      </w:rPr>
    </w:lvl>
    <w:lvl w:ilvl="8" w:tplc="76727CD0">
      <w:start w:val="1"/>
      <w:numFmt w:val="bullet"/>
      <w:lvlText w:val=""/>
      <w:lvlJc w:val="left"/>
      <w:pPr>
        <w:ind w:left="6480" w:hanging="360"/>
      </w:pPr>
      <w:rPr>
        <w:rFonts w:hint="default" w:ascii="Wingdings" w:hAnsi="Wingdings"/>
      </w:rPr>
    </w:lvl>
  </w:abstractNum>
  <w:abstractNum w:abstractNumId="3" w15:restartNumberingAfterBreak="0">
    <w:nsid w:val="298C460E"/>
    <w:multiLevelType w:val="hybridMultilevel"/>
    <w:tmpl w:val="F6DCFB1E"/>
    <w:lvl w:ilvl="0" w:tplc="771AA532">
      <w:start w:val="1"/>
      <w:numFmt w:val="bullet"/>
      <w:lvlText w:val=""/>
      <w:lvlJc w:val="left"/>
      <w:pPr>
        <w:ind w:left="720" w:hanging="360"/>
      </w:pPr>
      <w:rPr>
        <w:rFonts w:hint="default" w:ascii="Symbol" w:hAnsi="Symbol"/>
      </w:rPr>
    </w:lvl>
    <w:lvl w:ilvl="1" w:tplc="1E54C936">
      <w:start w:val="1"/>
      <w:numFmt w:val="bullet"/>
      <w:lvlText w:val="o"/>
      <w:lvlJc w:val="left"/>
      <w:pPr>
        <w:ind w:left="1440" w:hanging="360"/>
      </w:pPr>
      <w:rPr>
        <w:rFonts w:hint="default" w:ascii="Courier New" w:hAnsi="Courier New"/>
      </w:rPr>
    </w:lvl>
    <w:lvl w:ilvl="2" w:tplc="D59AEB7E">
      <w:start w:val="1"/>
      <w:numFmt w:val="bullet"/>
      <w:lvlText w:val=""/>
      <w:lvlJc w:val="left"/>
      <w:pPr>
        <w:ind w:left="2160" w:hanging="360"/>
      </w:pPr>
      <w:rPr>
        <w:rFonts w:hint="default" w:ascii="Wingdings" w:hAnsi="Wingdings"/>
      </w:rPr>
    </w:lvl>
    <w:lvl w:ilvl="3" w:tplc="BEE007A2">
      <w:start w:val="1"/>
      <w:numFmt w:val="bullet"/>
      <w:lvlText w:val=""/>
      <w:lvlJc w:val="left"/>
      <w:pPr>
        <w:ind w:left="2880" w:hanging="360"/>
      </w:pPr>
      <w:rPr>
        <w:rFonts w:hint="default" w:ascii="Symbol" w:hAnsi="Symbol"/>
      </w:rPr>
    </w:lvl>
    <w:lvl w:ilvl="4" w:tplc="30C4493E">
      <w:start w:val="1"/>
      <w:numFmt w:val="bullet"/>
      <w:lvlText w:val="o"/>
      <w:lvlJc w:val="left"/>
      <w:pPr>
        <w:ind w:left="3600" w:hanging="360"/>
      </w:pPr>
      <w:rPr>
        <w:rFonts w:hint="default" w:ascii="Courier New" w:hAnsi="Courier New"/>
      </w:rPr>
    </w:lvl>
    <w:lvl w:ilvl="5" w:tplc="346C73E6">
      <w:start w:val="1"/>
      <w:numFmt w:val="bullet"/>
      <w:lvlText w:val=""/>
      <w:lvlJc w:val="left"/>
      <w:pPr>
        <w:ind w:left="4320" w:hanging="360"/>
      </w:pPr>
      <w:rPr>
        <w:rFonts w:hint="default" w:ascii="Wingdings" w:hAnsi="Wingdings"/>
      </w:rPr>
    </w:lvl>
    <w:lvl w:ilvl="6" w:tplc="B37050D2">
      <w:start w:val="1"/>
      <w:numFmt w:val="bullet"/>
      <w:lvlText w:val=""/>
      <w:lvlJc w:val="left"/>
      <w:pPr>
        <w:ind w:left="5040" w:hanging="360"/>
      </w:pPr>
      <w:rPr>
        <w:rFonts w:hint="default" w:ascii="Symbol" w:hAnsi="Symbol"/>
      </w:rPr>
    </w:lvl>
    <w:lvl w:ilvl="7" w:tplc="E1087C46">
      <w:start w:val="1"/>
      <w:numFmt w:val="bullet"/>
      <w:lvlText w:val="o"/>
      <w:lvlJc w:val="left"/>
      <w:pPr>
        <w:ind w:left="5760" w:hanging="360"/>
      </w:pPr>
      <w:rPr>
        <w:rFonts w:hint="default" w:ascii="Courier New" w:hAnsi="Courier New"/>
      </w:rPr>
    </w:lvl>
    <w:lvl w:ilvl="8" w:tplc="0B041956">
      <w:start w:val="1"/>
      <w:numFmt w:val="bullet"/>
      <w:lvlText w:val=""/>
      <w:lvlJc w:val="left"/>
      <w:pPr>
        <w:ind w:left="6480" w:hanging="360"/>
      </w:pPr>
      <w:rPr>
        <w:rFonts w:hint="default" w:ascii="Wingdings" w:hAnsi="Wingdings"/>
      </w:rPr>
    </w:lvl>
  </w:abstractNum>
  <w:abstractNum w:abstractNumId="4" w15:restartNumberingAfterBreak="0">
    <w:nsid w:val="47673911"/>
    <w:multiLevelType w:val="hybridMultilevel"/>
    <w:tmpl w:val="0450EA26"/>
    <w:lvl w:ilvl="0" w:tplc="3C02983E">
      <w:start w:val="1"/>
      <w:numFmt w:val="bullet"/>
      <w:lvlText w:val=""/>
      <w:lvlJc w:val="left"/>
      <w:pPr>
        <w:ind w:left="720" w:hanging="360"/>
      </w:pPr>
      <w:rPr>
        <w:rFonts w:hint="default" w:ascii="Symbol" w:hAnsi="Symbol"/>
      </w:rPr>
    </w:lvl>
    <w:lvl w:ilvl="1" w:tplc="30CA36CC">
      <w:start w:val="1"/>
      <w:numFmt w:val="bullet"/>
      <w:lvlText w:val="o"/>
      <w:lvlJc w:val="left"/>
      <w:pPr>
        <w:ind w:left="1440" w:hanging="360"/>
      </w:pPr>
      <w:rPr>
        <w:rFonts w:hint="default" w:ascii="Courier New" w:hAnsi="Courier New"/>
      </w:rPr>
    </w:lvl>
    <w:lvl w:ilvl="2" w:tplc="7A22CC2A">
      <w:start w:val="1"/>
      <w:numFmt w:val="bullet"/>
      <w:lvlText w:val=""/>
      <w:lvlJc w:val="left"/>
      <w:pPr>
        <w:ind w:left="2160" w:hanging="360"/>
      </w:pPr>
      <w:rPr>
        <w:rFonts w:hint="default" w:ascii="Wingdings" w:hAnsi="Wingdings"/>
      </w:rPr>
    </w:lvl>
    <w:lvl w:ilvl="3" w:tplc="E77E893A">
      <w:start w:val="1"/>
      <w:numFmt w:val="bullet"/>
      <w:lvlText w:val=""/>
      <w:lvlJc w:val="left"/>
      <w:pPr>
        <w:ind w:left="2880" w:hanging="360"/>
      </w:pPr>
      <w:rPr>
        <w:rFonts w:hint="default" w:ascii="Symbol" w:hAnsi="Symbol"/>
      </w:rPr>
    </w:lvl>
    <w:lvl w:ilvl="4" w:tplc="F8929E9A">
      <w:start w:val="1"/>
      <w:numFmt w:val="bullet"/>
      <w:lvlText w:val="o"/>
      <w:lvlJc w:val="left"/>
      <w:pPr>
        <w:ind w:left="3600" w:hanging="360"/>
      </w:pPr>
      <w:rPr>
        <w:rFonts w:hint="default" w:ascii="Courier New" w:hAnsi="Courier New"/>
      </w:rPr>
    </w:lvl>
    <w:lvl w:ilvl="5" w:tplc="2A94DC16">
      <w:start w:val="1"/>
      <w:numFmt w:val="bullet"/>
      <w:lvlText w:val=""/>
      <w:lvlJc w:val="left"/>
      <w:pPr>
        <w:ind w:left="4320" w:hanging="360"/>
      </w:pPr>
      <w:rPr>
        <w:rFonts w:hint="default" w:ascii="Wingdings" w:hAnsi="Wingdings"/>
      </w:rPr>
    </w:lvl>
    <w:lvl w:ilvl="6" w:tplc="D828F514">
      <w:start w:val="1"/>
      <w:numFmt w:val="bullet"/>
      <w:lvlText w:val=""/>
      <w:lvlJc w:val="left"/>
      <w:pPr>
        <w:ind w:left="5040" w:hanging="360"/>
      </w:pPr>
      <w:rPr>
        <w:rFonts w:hint="default" w:ascii="Symbol" w:hAnsi="Symbol"/>
      </w:rPr>
    </w:lvl>
    <w:lvl w:ilvl="7" w:tplc="8C5C3D44">
      <w:start w:val="1"/>
      <w:numFmt w:val="bullet"/>
      <w:lvlText w:val="o"/>
      <w:lvlJc w:val="left"/>
      <w:pPr>
        <w:ind w:left="5760" w:hanging="360"/>
      </w:pPr>
      <w:rPr>
        <w:rFonts w:hint="default" w:ascii="Courier New" w:hAnsi="Courier New"/>
      </w:rPr>
    </w:lvl>
    <w:lvl w:ilvl="8" w:tplc="C06ED8FA">
      <w:start w:val="1"/>
      <w:numFmt w:val="bullet"/>
      <w:lvlText w:val=""/>
      <w:lvlJc w:val="left"/>
      <w:pPr>
        <w:ind w:left="6480" w:hanging="360"/>
      </w:pPr>
      <w:rPr>
        <w:rFonts w:hint="default" w:ascii="Wingdings" w:hAnsi="Wingdings"/>
      </w:rPr>
    </w:lvl>
  </w:abstractNum>
  <w:abstractNum w:abstractNumId="5" w15:restartNumberingAfterBreak="0">
    <w:nsid w:val="4B3CAD2B"/>
    <w:multiLevelType w:val="hybridMultilevel"/>
    <w:tmpl w:val="F6965B48"/>
    <w:lvl w:ilvl="0" w:tplc="679C587C">
      <w:start w:val="1"/>
      <w:numFmt w:val="bullet"/>
      <w:lvlText w:val=""/>
      <w:lvlJc w:val="left"/>
      <w:pPr>
        <w:ind w:left="720" w:hanging="360"/>
      </w:pPr>
      <w:rPr>
        <w:rFonts w:hint="default" w:ascii="Symbol" w:hAnsi="Symbol"/>
      </w:rPr>
    </w:lvl>
    <w:lvl w:ilvl="1" w:tplc="E062CC92">
      <w:start w:val="1"/>
      <w:numFmt w:val="bullet"/>
      <w:lvlText w:val="o"/>
      <w:lvlJc w:val="left"/>
      <w:pPr>
        <w:ind w:left="1440" w:hanging="360"/>
      </w:pPr>
      <w:rPr>
        <w:rFonts w:hint="default" w:ascii="Courier New" w:hAnsi="Courier New"/>
      </w:rPr>
    </w:lvl>
    <w:lvl w:ilvl="2" w:tplc="B20E5B0C">
      <w:start w:val="1"/>
      <w:numFmt w:val="bullet"/>
      <w:lvlText w:val=""/>
      <w:lvlJc w:val="left"/>
      <w:pPr>
        <w:ind w:left="2160" w:hanging="360"/>
      </w:pPr>
      <w:rPr>
        <w:rFonts w:hint="default" w:ascii="Wingdings" w:hAnsi="Wingdings"/>
      </w:rPr>
    </w:lvl>
    <w:lvl w:ilvl="3" w:tplc="67301EA4">
      <w:start w:val="1"/>
      <w:numFmt w:val="bullet"/>
      <w:lvlText w:val=""/>
      <w:lvlJc w:val="left"/>
      <w:pPr>
        <w:ind w:left="2880" w:hanging="360"/>
      </w:pPr>
      <w:rPr>
        <w:rFonts w:hint="default" w:ascii="Symbol" w:hAnsi="Symbol"/>
      </w:rPr>
    </w:lvl>
    <w:lvl w:ilvl="4" w:tplc="ED600C78">
      <w:start w:val="1"/>
      <w:numFmt w:val="bullet"/>
      <w:lvlText w:val="o"/>
      <w:lvlJc w:val="left"/>
      <w:pPr>
        <w:ind w:left="3600" w:hanging="360"/>
      </w:pPr>
      <w:rPr>
        <w:rFonts w:hint="default" w:ascii="Courier New" w:hAnsi="Courier New"/>
      </w:rPr>
    </w:lvl>
    <w:lvl w:ilvl="5" w:tplc="ABC66936">
      <w:start w:val="1"/>
      <w:numFmt w:val="bullet"/>
      <w:lvlText w:val=""/>
      <w:lvlJc w:val="left"/>
      <w:pPr>
        <w:ind w:left="4320" w:hanging="360"/>
      </w:pPr>
      <w:rPr>
        <w:rFonts w:hint="default" w:ascii="Wingdings" w:hAnsi="Wingdings"/>
      </w:rPr>
    </w:lvl>
    <w:lvl w:ilvl="6" w:tplc="A7701586">
      <w:start w:val="1"/>
      <w:numFmt w:val="bullet"/>
      <w:lvlText w:val=""/>
      <w:lvlJc w:val="left"/>
      <w:pPr>
        <w:ind w:left="5040" w:hanging="360"/>
      </w:pPr>
      <w:rPr>
        <w:rFonts w:hint="default" w:ascii="Symbol" w:hAnsi="Symbol"/>
      </w:rPr>
    </w:lvl>
    <w:lvl w:ilvl="7" w:tplc="0C3A58D8">
      <w:start w:val="1"/>
      <w:numFmt w:val="bullet"/>
      <w:lvlText w:val="o"/>
      <w:lvlJc w:val="left"/>
      <w:pPr>
        <w:ind w:left="5760" w:hanging="360"/>
      </w:pPr>
      <w:rPr>
        <w:rFonts w:hint="default" w:ascii="Courier New" w:hAnsi="Courier New"/>
      </w:rPr>
    </w:lvl>
    <w:lvl w:ilvl="8" w:tplc="DE669728">
      <w:start w:val="1"/>
      <w:numFmt w:val="bullet"/>
      <w:lvlText w:val=""/>
      <w:lvlJc w:val="left"/>
      <w:pPr>
        <w:ind w:left="6480" w:hanging="360"/>
      </w:pPr>
      <w:rPr>
        <w:rFonts w:hint="default" w:ascii="Wingdings" w:hAnsi="Wingdings"/>
      </w:rPr>
    </w:lvl>
  </w:abstractNum>
  <w:abstractNum w:abstractNumId="6" w15:restartNumberingAfterBreak="0">
    <w:nsid w:val="50694836"/>
    <w:multiLevelType w:val="hybridMultilevel"/>
    <w:tmpl w:val="0FBE32B4"/>
    <w:lvl w:ilvl="0" w:tplc="9B1E699A">
      <w:start w:val="1"/>
      <w:numFmt w:val="bullet"/>
      <w:lvlText w:val=""/>
      <w:lvlJc w:val="left"/>
      <w:pPr>
        <w:ind w:left="720" w:hanging="360"/>
      </w:pPr>
      <w:rPr>
        <w:rFonts w:hint="default" w:ascii="Symbol" w:hAnsi="Symbol"/>
      </w:rPr>
    </w:lvl>
    <w:lvl w:ilvl="1" w:tplc="D5F6D2B8">
      <w:start w:val="1"/>
      <w:numFmt w:val="bullet"/>
      <w:lvlText w:val="o"/>
      <w:lvlJc w:val="left"/>
      <w:pPr>
        <w:ind w:left="1440" w:hanging="360"/>
      </w:pPr>
      <w:rPr>
        <w:rFonts w:hint="default" w:ascii="Courier New" w:hAnsi="Courier New"/>
      </w:rPr>
    </w:lvl>
    <w:lvl w:ilvl="2" w:tplc="65E68BE2">
      <w:start w:val="1"/>
      <w:numFmt w:val="bullet"/>
      <w:lvlText w:val=""/>
      <w:lvlJc w:val="left"/>
      <w:pPr>
        <w:ind w:left="2160" w:hanging="360"/>
      </w:pPr>
      <w:rPr>
        <w:rFonts w:hint="default" w:ascii="Wingdings" w:hAnsi="Wingdings"/>
      </w:rPr>
    </w:lvl>
    <w:lvl w:ilvl="3" w:tplc="CAFCA43A">
      <w:start w:val="1"/>
      <w:numFmt w:val="bullet"/>
      <w:lvlText w:val=""/>
      <w:lvlJc w:val="left"/>
      <w:pPr>
        <w:ind w:left="2880" w:hanging="360"/>
      </w:pPr>
      <w:rPr>
        <w:rFonts w:hint="default" w:ascii="Symbol" w:hAnsi="Symbol"/>
      </w:rPr>
    </w:lvl>
    <w:lvl w:ilvl="4" w:tplc="BE2EA5D4">
      <w:start w:val="1"/>
      <w:numFmt w:val="bullet"/>
      <w:lvlText w:val="o"/>
      <w:lvlJc w:val="left"/>
      <w:pPr>
        <w:ind w:left="3600" w:hanging="360"/>
      </w:pPr>
      <w:rPr>
        <w:rFonts w:hint="default" w:ascii="Courier New" w:hAnsi="Courier New"/>
      </w:rPr>
    </w:lvl>
    <w:lvl w:ilvl="5" w:tplc="3980628A">
      <w:start w:val="1"/>
      <w:numFmt w:val="bullet"/>
      <w:lvlText w:val=""/>
      <w:lvlJc w:val="left"/>
      <w:pPr>
        <w:ind w:left="4320" w:hanging="360"/>
      </w:pPr>
      <w:rPr>
        <w:rFonts w:hint="default" w:ascii="Wingdings" w:hAnsi="Wingdings"/>
      </w:rPr>
    </w:lvl>
    <w:lvl w:ilvl="6" w:tplc="CA0E2EFE">
      <w:start w:val="1"/>
      <w:numFmt w:val="bullet"/>
      <w:lvlText w:val=""/>
      <w:lvlJc w:val="left"/>
      <w:pPr>
        <w:ind w:left="5040" w:hanging="360"/>
      </w:pPr>
      <w:rPr>
        <w:rFonts w:hint="default" w:ascii="Symbol" w:hAnsi="Symbol"/>
      </w:rPr>
    </w:lvl>
    <w:lvl w:ilvl="7" w:tplc="35C66F4A">
      <w:start w:val="1"/>
      <w:numFmt w:val="bullet"/>
      <w:lvlText w:val="o"/>
      <w:lvlJc w:val="left"/>
      <w:pPr>
        <w:ind w:left="5760" w:hanging="360"/>
      </w:pPr>
      <w:rPr>
        <w:rFonts w:hint="default" w:ascii="Courier New" w:hAnsi="Courier New"/>
      </w:rPr>
    </w:lvl>
    <w:lvl w:ilvl="8" w:tplc="C71639DE">
      <w:start w:val="1"/>
      <w:numFmt w:val="bullet"/>
      <w:lvlText w:val=""/>
      <w:lvlJc w:val="left"/>
      <w:pPr>
        <w:ind w:left="6480" w:hanging="360"/>
      </w:pPr>
      <w:rPr>
        <w:rFonts w:hint="default" w:ascii="Wingdings" w:hAnsi="Wingdings"/>
      </w:rPr>
    </w:lvl>
  </w:abstractNum>
  <w:abstractNum w:abstractNumId="7" w15:restartNumberingAfterBreak="0">
    <w:nsid w:val="5BC5E3B4"/>
    <w:multiLevelType w:val="hybridMultilevel"/>
    <w:tmpl w:val="54E65594"/>
    <w:lvl w:ilvl="0" w:tplc="83A8403A">
      <w:start w:val="1"/>
      <w:numFmt w:val="bullet"/>
      <w:lvlText w:val=""/>
      <w:lvlJc w:val="left"/>
      <w:pPr>
        <w:ind w:left="720" w:hanging="360"/>
      </w:pPr>
      <w:rPr>
        <w:rFonts w:hint="default" w:ascii="Symbol" w:hAnsi="Symbol"/>
      </w:rPr>
    </w:lvl>
    <w:lvl w:ilvl="1" w:tplc="84201D60">
      <w:start w:val="1"/>
      <w:numFmt w:val="bullet"/>
      <w:lvlText w:val="o"/>
      <w:lvlJc w:val="left"/>
      <w:pPr>
        <w:ind w:left="1440" w:hanging="360"/>
      </w:pPr>
      <w:rPr>
        <w:rFonts w:hint="default" w:ascii="Courier New" w:hAnsi="Courier New"/>
      </w:rPr>
    </w:lvl>
    <w:lvl w:ilvl="2" w:tplc="4E5ECD70">
      <w:start w:val="1"/>
      <w:numFmt w:val="bullet"/>
      <w:lvlText w:val=""/>
      <w:lvlJc w:val="left"/>
      <w:pPr>
        <w:ind w:left="2160" w:hanging="360"/>
      </w:pPr>
      <w:rPr>
        <w:rFonts w:hint="default" w:ascii="Wingdings" w:hAnsi="Wingdings"/>
      </w:rPr>
    </w:lvl>
    <w:lvl w:ilvl="3" w:tplc="C74096CA">
      <w:start w:val="1"/>
      <w:numFmt w:val="bullet"/>
      <w:lvlText w:val=""/>
      <w:lvlJc w:val="left"/>
      <w:pPr>
        <w:ind w:left="2880" w:hanging="360"/>
      </w:pPr>
      <w:rPr>
        <w:rFonts w:hint="default" w:ascii="Symbol" w:hAnsi="Symbol"/>
      </w:rPr>
    </w:lvl>
    <w:lvl w:ilvl="4" w:tplc="40149368">
      <w:start w:val="1"/>
      <w:numFmt w:val="bullet"/>
      <w:lvlText w:val="o"/>
      <w:lvlJc w:val="left"/>
      <w:pPr>
        <w:ind w:left="3600" w:hanging="360"/>
      </w:pPr>
      <w:rPr>
        <w:rFonts w:hint="default" w:ascii="Courier New" w:hAnsi="Courier New"/>
      </w:rPr>
    </w:lvl>
    <w:lvl w:ilvl="5" w:tplc="739490EE">
      <w:start w:val="1"/>
      <w:numFmt w:val="bullet"/>
      <w:lvlText w:val=""/>
      <w:lvlJc w:val="left"/>
      <w:pPr>
        <w:ind w:left="4320" w:hanging="360"/>
      </w:pPr>
      <w:rPr>
        <w:rFonts w:hint="default" w:ascii="Wingdings" w:hAnsi="Wingdings"/>
      </w:rPr>
    </w:lvl>
    <w:lvl w:ilvl="6" w:tplc="84ECBC8E">
      <w:start w:val="1"/>
      <w:numFmt w:val="bullet"/>
      <w:lvlText w:val=""/>
      <w:lvlJc w:val="left"/>
      <w:pPr>
        <w:ind w:left="5040" w:hanging="360"/>
      </w:pPr>
      <w:rPr>
        <w:rFonts w:hint="default" w:ascii="Symbol" w:hAnsi="Symbol"/>
      </w:rPr>
    </w:lvl>
    <w:lvl w:ilvl="7" w:tplc="46B049D0">
      <w:start w:val="1"/>
      <w:numFmt w:val="bullet"/>
      <w:lvlText w:val="o"/>
      <w:lvlJc w:val="left"/>
      <w:pPr>
        <w:ind w:left="5760" w:hanging="360"/>
      </w:pPr>
      <w:rPr>
        <w:rFonts w:hint="default" w:ascii="Courier New" w:hAnsi="Courier New"/>
      </w:rPr>
    </w:lvl>
    <w:lvl w:ilvl="8" w:tplc="02E80034">
      <w:start w:val="1"/>
      <w:numFmt w:val="bullet"/>
      <w:lvlText w:val=""/>
      <w:lvlJc w:val="left"/>
      <w:pPr>
        <w:ind w:left="6480" w:hanging="360"/>
      </w:pPr>
      <w:rPr>
        <w:rFonts w:hint="default" w:ascii="Wingdings" w:hAnsi="Wingdings"/>
      </w:rPr>
    </w:lvl>
  </w:abstractNum>
  <w:abstractNum w:abstractNumId="8" w15:restartNumberingAfterBreak="0">
    <w:nsid w:val="7119B63E"/>
    <w:multiLevelType w:val="hybridMultilevel"/>
    <w:tmpl w:val="086A2FA0"/>
    <w:lvl w:ilvl="0" w:tplc="548269D2">
      <w:start w:val="1"/>
      <w:numFmt w:val="bullet"/>
      <w:lvlText w:val=""/>
      <w:lvlJc w:val="left"/>
      <w:pPr>
        <w:ind w:left="720" w:hanging="360"/>
      </w:pPr>
      <w:rPr>
        <w:rFonts w:hint="default" w:ascii="Symbol" w:hAnsi="Symbol"/>
      </w:rPr>
    </w:lvl>
    <w:lvl w:ilvl="1" w:tplc="05AABBE0">
      <w:start w:val="1"/>
      <w:numFmt w:val="bullet"/>
      <w:lvlText w:val="o"/>
      <w:lvlJc w:val="left"/>
      <w:pPr>
        <w:ind w:left="1440" w:hanging="360"/>
      </w:pPr>
      <w:rPr>
        <w:rFonts w:hint="default" w:ascii="Courier New" w:hAnsi="Courier New"/>
      </w:rPr>
    </w:lvl>
    <w:lvl w:ilvl="2" w:tplc="205E3DBC">
      <w:start w:val="1"/>
      <w:numFmt w:val="bullet"/>
      <w:lvlText w:val=""/>
      <w:lvlJc w:val="left"/>
      <w:pPr>
        <w:ind w:left="2160" w:hanging="360"/>
      </w:pPr>
      <w:rPr>
        <w:rFonts w:hint="default" w:ascii="Wingdings" w:hAnsi="Wingdings"/>
      </w:rPr>
    </w:lvl>
    <w:lvl w:ilvl="3" w:tplc="A69077F8">
      <w:start w:val="1"/>
      <w:numFmt w:val="bullet"/>
      <w:lvlText w:val=""/>
      <w:lvlJc w:val="left"/>
      <w:pPr>
        <w:ind w:left="2880" w:hanging="360"/>
      </w:pPr>
      <w:rPr>
        <w:rFonts w:hint="default" w:ascii="Symbol" w:hAnsi="Symbol"/>
      </w:rPr>
    </w:lvl>
    <w:lvl w:ilvl="4" w:tplc="CF2C47A6">
      <w:start w:val="1"/>
      <w:numFmt w:val="bullet"/>
      <w:lvlText w:val="o"/>
      <w:lvlJc w:val="left"/>
      <w:pPr>
        <w:ind w:left="3600" w:hanging="360"/>
      </w:pPr>
      <w:rPr>
        <w:rFonts w:hint="default" w:ascii="Courier New" w:hAnsi="Courier New"/>
      </w:rPr>
    </w:lvl>
    <w:lvl w:ilvl="5" w:tplc="3FA8A07E">
      <w:start w:val="1"/>
      <w:numFmt w:val="bullet"/>
      <w:lvlText w:val=""/>
      <w:lvlJc w:val="left"/>
      <w:pPr>
        <w:ind w:left="4320" w:hanging="360"/>
      </w:pPr>
      <w:rPr>
        <w:rFonts w:hint="default" w:ascii="Wingdings" w:hAnsi="Wingdings"/>
      </w:rPr>
    </w:lvl>
    <w:lvl w:ilvl="6" w:tplc="91D40FDE">
      <w:start w:val="1"/>
      <w:numFmt w:val="bullet"/>
      <w:lvlText w:val=""/>
      <w:lvlJc w:val="left"/>
      <w:pPr>
        <w:ind w:left="5040" w:hanging="360"/>
      </w:pPr>
      <w:rPr>
        <w:rFonts w:hint="default" w:ascii="Symbol" w:hAnsi="Symbol"/>
      </w:rPr>
    </w:lvl>
    <w:lvl w:ilvl="7" w:tplc="343C72C2">
      <w:start w:val="1"/>
      <w:numFmt w:val="bullet"/>
      <w:lvlText w:val="o"/>
      <w:lvlJc w:val="left"/>
      <w:pPr>
        <w:ind w:left="5760" w:hanging="360"/>
      </w:pPr>
      <w:rPr>
        <w:rFonts w:hint="default" w:ascii="Courier New" w:hAnsi="Courier New"/>
      </w:rPr>
    </w:lvl>
    <w:lvl w:ilvl="8" w:tplc="09F8C770">
      <w:start w:val="1"/>
      <w:numFmt w:val="bullet"/>
      <w:lvlText w:val=""/>
      <w:lvlJc w:val="left"/>
      <w:pPr>
        <w:ind w:left="6480" w:hanging="360"/>
      </w:pPr>
      <w:rPr>
        <w:rFonts w:hint="default" w:ascii="Wingdings" w:hAnsi="Wingdings"/>
      </w:rPr>
    </w:lvl>
  </w:abstractNum>
  <w:abstractNum w:abstractNumId="9" w15:restartNumberingAfterBreak="0">
    <w:nsid w:val="7B6930E8"/>
    <w:multiLevelType w:val="hybridMultilevel"/>
    <w:tmpl w:val="4B1CCA04"/>
    <w:lvl w:ilvl="0" w:tplc="A91AF740">
      <w:start w:val="1"/>
      <w:numFmt w:val="bullet"/>
      <w:lvlText w:val=""/>
      <w:lvlJc w:val="left"/>
      <w:pPr>
        <w:ind w:left="720" w:hanging="360"/>
      </w:pPr>
      <w:rPr>
        <w:rFonts w:hint="default" w:ascii="Symbol" w:hAnsi="Symbol"/>
      </w:rPr>
    </w:lvl>
    <w:lvl w:ilvl="1" w:tplc="D6003E62">
      <w:start w:val="1"/>
      <w:numFmt w:val="bullet"/>
      <w:lvlText w:val="o"/>
      <w:lvlJc w:val="left"/>
      <w:pPr>
        <w:ind w:left="1440" w:hanging="360"/>
      </w:pPr>
      <w:rPr>
        <w:rFonts w:hint="default" w:ascii="Courier New" w:hAnsi="Courier New"/>
      </w:rPr>
    </w:lvl>
    <w:lvl w:ilvl="2" w:tplc="80C6A534">
      <w:start w:val="1"/>
      <w:numFmt w:val="bullet"/>
      <w:lvlText w:val=""/>
      <w:lvlJc w:val="left"/>
      <w:pPr>
        <w:ind w:left="2160" w:hanging="360"/>
      </w:pPr>
      <w:rPr>
        <w:rFonts w:hint="default" w:ascii="Wingdings" w:hAnsi="Wingdings"/>
      </w:rPr>
    </w:lvl>
    <w:lvl w:ilvl="3" w:tplc="45CAEBFE">
      <w:start w:val="1"/>
      <w:numFmt w:val="bullet"/>
      <w:lvlText w:val=""/>
      <w:lvlJc w:val="left"/>
      <w:pPr>
        <w:ind w:left="2880" w:hanging="360"/>
      </w:pPr>
      <w:rPr>
        <w:rFonts w:hint="default" w:ascii="Symbol" w:hAnsi="Symbol"/>
      </w:rPr>
    </w:lvl>
    <w:lvl w:ilvl="4" w:tplc="008EAF16">
      <w:start w:val="1"/>
      <w:numFmt w:val="bullet"/>
      <w:lvlText w:val="o"/>
      <w:lvlJc w:val="left"/>
      <w:pPr>
        <w:ind w:left="3600" w:hanging="360"/>
      </w:pPr>
      <w:rPr>
        <w:rFonts w:hint="default" w:ascii="Courier New" w:hAnsi="Courier New"/>
      </w:rPr>
    </w:lvl>
    <w:lvl w:ilvl="5" w:tplc="5AF257FA">
      <w:start w:val="1"/>
      <w:numFmt w:val="bullet"/>
      <w:lvlText w:val=""/>
      <w:lvlJc w:val="left"/>
      <w:pPr>
        <w:ind w:left="4320" w:hanging="360"/>
      </w:pPr>
      <w:rPr>
        <w:rFonts w:hint="default" w:ascii="Wingdings" w:hAnsi="Wingdings"/>
      </w:rPr>
    </w:lvl>
    <w:lvl w:ilvl="6" w:tplc="A2843038">
      <w:start w:val="1"/>
      <w:numFmt w:val="bullet"/>
      <w:lvlText w:val=""/>
      <w:lvlJc w:val="left"/>
      <w:pPr>
        <w:ind w:left="5040" w:hanging="360"/>
      </w:pPr>
      <w:rPr>
        <w:rFonts w:hint="default" w:ascii="Symbol" w:hAnsi="Symbol"/>
      </w:rPr>
    </w:lvl>
    <w:lvl w:ilvl="7" w:tplc="2648FE8A">
      <w:start w:val="1"/>
      <w:numFmt w:val="bullet"/>
      <w:lvlText w:val="o"/>
      <w:lvlJc w:val="left"/>
      <w:pPr>
        <w:ind w:left="5760" w:hanging="360"/>
      </w:pPr>
      <w:rPr>
        <w:rFonts w:hint="default" w:ascii="Courier New" w:hAnsi="Courier New"/>
      </w:rPr>
    </w:lvl>
    <w:lvl w:ilvl="8" w:tplc="BE52C96E">
      <w:start w:val="1"/>
      <w:numFmt w:val="bullet"/>
      <w:lvlText w:val=""/>
      <w:lvlJc w:val="left"/>
      <w:pPr>
        <w:ind w:left="6480" w:hanging="360"/>
      </w:pPr>
      <w:rPr>
        <w:rFonts w:hint="default" w:ascii="Wingdings" w:hAnsi="Wingdings"/>
      </w:rPr>
    </w:lvl>
  </w:abstractNum>
  <w:num w:numId="1" w16cid:durableId="1281454608">
    <w:abstractNumId w:val="7"/>
  </w:num>
  <w:num w:numId="2" w16cid:durableId="660549030">
    <w:abstractNumId w:val="6"/>
  </w:num>
  <w:num w:numId="3" w16cid:durableId="1520894191">
    <w:abstractNumId w:val="3"/>
  </w:num>
  <w:num w:numId="4" w16cid:durableId="1406564437">
    <w:abstractNumId w:val="9"/>
  </w:num>
  <w:num w:numId="5" w16cid:durableId="455296562">
    <w:abstractNumId w:val="8"/>
  </w:num>
  <w:num w:numId="6" w16cid:durableId="942691058">
    <w:abstractNumId w:val="1"/>
  </w:num>
  <w:num w:numId="7" w16cid:durableId="1929390657">
    <w:abstractNumId w:val="5"/>
  </w:num>
  <w:num w:numId="8" w16cid:durableId="1091007396">
    <w:abstractNumId w:val="4"/>
  </w:num>
  <w:num w:numId="9" w16cid:durableId="1041053501">
    <w:abstractNumId w:val="0"/>
  </w:num>
  <w:num w:numId="10" w16cid:durableId="970133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A2BFAA"/>
    <w:rsid w:val="00002B2C"/>
    <w:rsid w:val="000077D1"/>
    <w:rsid w:val="0001498D"/>
    <w:rsid w:val="00024788"/>
    <w:rsid w:val="00030695"/>
    <w:rsid w:val="00031D8D"/>
    <w:rsid w:val="00054C5A"/>
    <w:rsid w:val="0006774A"/>
    <w:rsid w:val="00070A15"/>
    <w:rsid w:val="00070C88"/>
    <w:rsid w:val="000716FD"/>
    <w:rsid w:val="00092E3D"/>
    <w:rsid w:val="0009610C"/>
    <w:rsid w:val="000A18DC"/>
    <w:rsid w:val="000A1C52"/>
    <w:rsid w:val="000B1E5F"/>
    <w:rsid w:val="000B558E"/>
    <w:rsid w:val="000C53DB"/>
    <w:rsid w:val="000D3411"/>
    <w:rsid w:val="000D484B"/>
    <w:rsid w:val="000D7882"/>
    <w:rsid w:val="000E0C60"/>
    <w:rsid w:val="000E24E8"/>
    <w:rsid w:val="000E2797"/>
    <w:rsid w:val="000E52D5"/>
    <w:rsid w:val="001039BD"/>
    <w:rsid w:val="001040F2"/>
    <w:rsid w:val="00126644"/>
    <w:rsid w:val="0013229C"/>
    <w:rsid w:val="001368CB"/>
    <w:rsid w:val="00136992"/>
    <w:rsid w:val="00142730"/>
    <w:rsid w:val="00153CC8"/>
    <w:rsid w:val="001566A6"/>
    <w:rsid w:val="00164BA6"/>
    <w:rsid w:val="00177DD8"/>
    <w:rsid w:val="00181E90"/>
    <w:rsid w:val="001855A1"/>
    <w:rsid w:val="00187E99"/>
    <w:rsid w:val="00195258"/>
    <w:rsid w:val="001B2BB4"/>
    <w:rsid w:val="001D6EF3"/>
    <w:rsid w:val="001E5A70"/>
    <w:rsid w:val="001F6CAB"/>
    <w:rsid w:val="00207CD7"/>
    <w:rsid w:val="002130B2"/>
    <w:rsid w:val="00242D30"/>
    <w:rsid w:val="0026329E"/>
    <w:rsid w:val="00267016"/>
    <w:rsid w:val="00280B5E"/>
    <w:rsid w:val="00281645"/>
    <w:rsid w:val="00281FE2"/>
    <w:rsid w:val="002908E4"/>
    <w:rsid w:val="002B2FFA"/>
    <w:rsid w:val="002B569B"/>
    <w:rsid w:val="002C7E94"/>
    <w:rsid w:val="002D2491"/>
    <w:rsid w:val="003245EF"/>
    <w:rsid w:val="00332519"/>
    <w:rsid w:val="00333BDF"/>
    <w:rsid w:val="00346DD3"/>
    <w:rsid w:val="0035788C"/>
    <w:rsid w:val="00363F1D"/>
    <w:rsid w:val="003860E6"/>
    <w:rsid w:val="0038667B"/>
    <w:rsid w:val="00396534"/>
    <w:rsid w:val="003A1737"/>
    <w:rsid w:val="003A5449"/>
    <w:rsid w:val="003B1362"/>
    <w:rsid w:val="003C6E50"/>
    <w:rsid w:val="003C77F2"/>
    <w:rsid w:val="003C79F7"/>
    <w:rsid w:val="003D0514"/>
    <w:rsid w:val="003D1869"/>
    <w:rsid w:val="003E4DBD"/>
    <w:rsid w:val="00407AEA"/>
    <w:rsid w:val="00422DBD"/>
    <w:rsid w:val="00426F93"/>
    <w:rsid w:val="00427FD2"/>
    <w:rsid w:val="004527EB"/>
    <w:rsid w:val="00452B00"/>
    <w:rsid w:val="00453A75"/>
    <w:rsid w:val="00482A53"/>
    <w:rsid w:val="004965FE"/>
    <w:rsid w:val="004A028C"/>
    <w:rsid w:val="004A2A89"/>
    <w:rsid w:val="004A2FBE"/>
    <w:rsid w:val="004A4150"/>
    <w:rsid w:val="004C05DA"/>
    <w:rsid w:val="004C46A5"/>
    <w:rsid w:val="004D1DC0"/>
    <w:rsid w:val="004D49E3"/>
    <w:rsid w:val="004D709A"/>
    <w:rsid w:val="004E14EF"/>
    <w:rsid w:val="004E5FC4"/>
    <w:rsid w:val="004F7824"/>
    <w:rsid w:val="005016B6"/>
    <w:rsid w:val="00534AFE"/>
    <w:rsid w:val="00537BF5"/>
    <w:rsid w:val="00552863"/>
    <w:rsid w:val="00564DE1"/>
    <w:rsid w:val="005654E7"/>
    <w:rsid w:val="00567221"/>
    <w:rsid w:val="00567AA4"/>
    <w:rsid w:val="00582876"/>
    <w:rsid w:val="00586339"/>
    <w:rsid w:val="00587540"/>
    <w:rsid w:val="005911A8"/>
    <w:rsid w:val="00596D21"/>
    <w:rsid w:val="00596DC2"/>
    <w:rsid w:val="005A35B0"/>
    <w:rsid w:val="005C2319"/>
    <w:rsid w:val="005D19FB"/>
    <w:rsid w:val="005D5F6E"/>
    <w:rsid w:val="005F060E"/>
    <w:rsid w:val="006116CC"/>
    <w:rsid w:val="006331D0"/>
    <w:rsid w:val="006547E3"/>
    <w:rsid w:val="00673021"/>
    <w:rsid w:val="006839D5"/>
    <w:rsid w:val="006966D0"/>
    <w:rsid w:val="006966EF"/>
    <w:rsid w:val="006A1E7D"/>
    <w:rsid w:val="006C3F65"/>
    <w:rsid w:val="006C7DB0"/>
    <w:rsid w:val="006E1A30"/>
    <w:rsid w:val="006E3C03"/>
    <w:rsid w:val="00700C1F"/>
    <w:rsid w:val="0070396F"/>
    <w:rsid w:val="007311C7"/>
    <w:rsid w:val="00764685"/>
    <w:rsid w:val="00781FBB"/>
    <w:rsid w:val="0078359A"/>
    <w:rsid w:val="00784292"/>
    <w:rsid w:val="00786E25"/>
    <w:rsid w:val="0079502E"/>
    <w:rsid w:val="007B25E6"/>
    <w:rsid w:val="007C58D2"/>
    <w:rsid w:val="007F1709"/>
    <w:rsid w:val="00801BDB"/>
    <w:rsid w:val="0081697A"/>
    <w:rsid w:val="00827528"/>
    <w:rsid w:val="00832FF3"/>
    <w:rsid w:val="00847757"/>
    <w:rsid w:val="00847F12"/>
    <w:rsid w:val="008604A9"/>
    <w:rsid w:val="00862544"/>
    <w:rsid w:val="00893569"/>
    <w:rsid w:val="008A15C1"/>
    <w:rsid w:val="008A4489"/>
    <w:rsid w:val="008C63B2"/>
    <w:rsid w:val="008C893C"/>
    <w:rsid w:val="008F7B5B"/>
    <w:rsid w:val="0090048C"/>
    <w:rsid w:val="00911997"/>
    <w:rsid w:val="009169EA"/>
    <w:rsid w:val="00935583"/>
    <w:rsid w:val="00936D90"/>
    <w:rsid w:val="00945D2D"/>
    <w:rsid w:val="009631BA"/>
    <w:rsid w:val="00965B9D"/>
    <w:rsid w:val="009727E4"/>
    <w:rsid w:val="00980765"/>
    <w:rsid w:val="0098397E"/>
    <w:rsid w:val="00994E12"/>
    <w:rsid w:val="009C0359"/>
    <w:rsid w:val="009C30C1"/>
    <w:rsid w:val="009C912F"/>
    <w:rsid w:val="009D6159"/>
    <w:rsid w:val="00A061C7"/>
    <w:rsid w:val="00A1044B"/>
    <w:rsid w:val="00A1634B"/>
    <w:rsid w:val="00A17997"/>
    <w:rsid w:val="00A240F3"/>
    <w:rsid w:val="00A41D84"/>
    <w:rsid w:val="00A522FA"/>
    <w:rsid w:val="00A53F2D"/>
    <w:rsid w:val="00A64F06"/>
    <w:rsid w:val="00A73311"/>
    <w:rsid w:val="00A854DC"/>
    <w:rsid w:val="00A93247"/>
    <w:rsid w:val="00AA3392"/>
    <w:rsid w:val="00AB307D"/>
    <w:rsid w:val="00AC2092"/>
    <w:rsid w:val="00AD057B"/>
    <w:rsid w:val="00AD79C1"/>
    <w:rsid w:val="00AE0BC1"/>
    <w:rsid w:val="00AE554A"/>
    <w:rsid w:val="00B04A7F"/>
    <w:rsid w:val="00B068E6"/>
    <w:rsid w:val="00B115E8"/>
    <w:rsid w:val="00B14196"/>
    <w:rsid w:val="00B14B39"/>
    <w:rsid w:val="00B14C86"/>
    <w:rsid w:val="00B22BEB"/>
    <w:rsid w:val="00B31037"/>
    <w:rsid w:val="00B37154"/>
    <w:rsid w:val="00B53A11"/>
    <w:rsid w:val="00B81DF0"/>
    <w:rsid w:val="00B868DF"/>
    <w:rsid w:val="00B93C43"/>
    <w:rsid w:val="00B95248"/>
    <w:rsid w:val="00BA511E"/>
    <w:rsid w:val="00BA59EC"/>
    <w:rsid w:val="00BB6A0E"/>
    <w:rsid w:val="00BC323A"/>
    <w:rsid w:val="00BC3F60"/>
    <w:rsid w:val="00BC61F7"/>
    <w:rsid w:val="00BC7A7B"/>
    <w:rsid w:val="00BD1AF4"/>
    <w:rsid w:val="00BD40AB"/>
    <w:rsid w:val="00BE7E55"/>
    <w:rsid w:val="00BF40B3"/>
    <w:rsid w:val="00C10A16"/>
    <w:rsid w:val="00C12E5C"/>
    <w:rsid w:val="00C32BE5"/>
    <w:rsid w:val="00C33292"/>
    <w:rsid w:val="00C35F09"/>
    <w:rsid w:val="00C38EAC"/>
    <w:rsid w:val="00C46F64"/>
    <w:rsid w:val="00C47618"/>
    <w:rsid w:val="00C64E9D"/>
    <w:rsid w:val="00C8041A"/>
    <w:rsid w:val="00C84258"/>
    <w:rsid w:val="00CA23A8"/>
    <w:rsid w:val="00CA2428"/>
    <w:rsid w:val="00CB7AD1"/>
    <w:rsid w:val="00CC556E"/>
    <w:rsid w:val="00CC5645"/>
    <w:rsid w:val="00CC7AC4"/>
    <w:rsid w:val="00CD19BB"/>
    <w:rsid w:val="00CD24E9"/>
    <w:rsid w:val="00CE18FC"/>
    <w:rsid w:val="00D00FE5"/>
    <w:rsid w:val="00D05989"/>
    <w:rsid w:val="00D147DB"/>
    <w:rsid w:val="00D21D0E"/>
    <w:rsid w:val="00D50FA1"/>
    <w:rsid w:val="00D523F6"/>
    <w:rsid w:val="00D57543"/>
    <w:rsid w:val="00D592CC"/>
    <w:rsid w:val="00D93910"/>
    <w:rsid w:val="00DB590E"/>
    <w:rsid w:val="00DC4F0B"/>
    <w:rsid w:val="00DE2FD2"/>
    <w:rsid w:val="00DF3F69"/>
    <w:rsid w:val="00DF5C4D"/>
    <w:rsid w:val="00E0345F"/>
    <w:rsid w:val="00E10143"/>
    <w:rsid w:val="00E21E7F"/>
    <w:rsid w:val="00E25E08"/>
    <w:rsid w:val="00E40A6F"/>
    <w:rsid w:val="00E43D22"/>
    <w:rsid w:val="00E72799"/>
    <w:rsid w:val="00E739B5"/>
    <w:rsid w:val="00E77557"/>
    <w:rsid w:val="00E93BFD"/>
    <w:rsid w:val="00EA01F1"/>
    <w:rsid w:val="00EB138D"/>
    <w:rsid w:val="00EB64A2"/>
    <w:rsid w:val="00ED2578"/>
    <w:rsid w:val="00F24808"/>
    <w:rsid w:val="00F27C9F"/>
    <w:rsid w:val="00F4190B"/>
    <w:rsid w:val="00F50BC9"/>
    <w:rsid w:val="00F61F92"/>
    <w:rsid w:val="00F63866"/>
    <w:rsid w:val="00F92E14"/>
    <w:rsid w:val="00FA340A"/>
    <w:rsid w:val="00FF49A8"/>
    <w:rsid w:val="011B74F1"/>
    <w:rsid w:val="011CEA28"/>
    <w:rsid w:val="0121C3A2"/>
    <w:rsid w:val="015D96FB"/>
    <w:rsid w:val="0169CD1F"/>
    <w:rsid w:val="01CC5D0B"/>
    <w:rsid w:val="01D4446E"/>
    <w:rsid w:val="01E33D79"/>
    <w:rsid w:val="01E97A2B"/>
    <w:rsid w:val="0214CE7D"/>
    <w:rsid w:val="0251457D"/>
    <w:rsid w:val="0262382D"/>
    <w:rsid w:val="02895B07"/>
    <w:rsid w:val="02CFE460"/>
    <w:rsid w:val="02DC6B7C"/>
    <w:rsid w:val="0323676D"/>
    <w:rsid w:val="032984D9"/>
    <w:rsid w:val="0337086A"/>
    <w:rsid w:val="035E3A96"/>
    <w:rsid w:val="03AAD395"/>
    <w:rsid w:val="03DC75F7"/>
    <w:rsid w:val="041E5767"/>
    <w:rsid w:val="041F0C36"/>
    <w:rsid w:val="0420AA91"/>
    <w:rsid w:val="044C1385"/>
    <w:rsid w:val="045C16DA"/>
    <w:rsid w:val="047B7522"/>
    <w:rsid w:val="048F195A"/>
    <w:rsid w:val="04EE7695"/>
    <w:rsid w:val="053D379A"/>
    <w:rsid w:val="05D7574D"/>
    <w:rsid w:val="05F2E3C3"/>
    <w:rsid w:val="062A732B"/>
    <w:rsid w:val="06AA62CF"/>
    <w:rsid w:val="06E1A227"/>
    <w:rsid w:val="06F34732"/>
    <w:rsid w:val="06FA5671"/>
    <w:rsid w:val="07366CD2"/>
    <w:rsid w:val="074209D3"/>
    <w:rsid w:val="07AD573B"/>
    <w:rsid w:val="07B002E0"/>
    <w:rsid w:val="07CFA3CF"/>
    <w:rsid w:val="07DF62E3"/>
    <w:rsid w:val="07F5A5C3"/>
    <w:rsid w:val="0845D472"/>
    <w:rsid w:val="084D282A"/>
    <w:rsid w:val="08632240"/>
    <w:rsid w:val="08670E77"/>
    <w:rsid w:val="08854CD6"/>
    <w:rsid w:val="08DCA031"/>
    <w:rsid w:val="094AF24B"/>
    <w:rsid w:val="0955FFF5"/>
    <w:rsid w:val="096FFD87"/>
    <w:rsid w:val="098E0A24"/>
    <w:rsid w:val="09B8E66B"/>
    <w:rsid w:val="09C3AF54"/>
    <w:rsid w:val="09E3D692"/>
    <w:rsid w:val="09EED8DC"/>
    <w:rsid w:val="09F446CA"/>
    <w:rsid w:val="0A3A0ECA"/>
    <w:rsid w:val="0ADFAACC"/>
    <w:rsid w:val="0AF4FB67"/>
    <w:rsid w:val="0B1E7895"/>
    <w:rsid w:val="0B1F5F96"/>
    <w:rsid w:val="0B264FF1"/>
    <w:rsid w:val="0B2FF328"/>
    <w:rsid w:val="0B332406"/>
    <w:rsid w:val="0B392D31"/>
    <w:rsid w:val="0B46AF4A"/>
    <w:rsid w:val="0B90CB6A"/>
    <w:rsid w:val="0BC2AECB"/>
    <w:rsid w:val="0BD85DF9"/>
    <w:rsid w:val="0BEC7739"/>
    <w:rsid w:val="0C086028"/>
    <w:rsid w:val="0CB5E85A"/>
    <w:rsid w:val="0CB84B75"/>
    <w:rsid w:val="0CBD3BFE"/>
    <w:rsid w:val="0CFA5099"/>
    <w:rsid w:val="0D129E48"/>
    <w:rsid w:val="0D14AE08"/>
    <w:rsid w:val="0D415840"/>
    <w:rsid w:val="0D547BA8"/>
    <w:rsid w:val="0D7502E8"/>
    <w:rsid w:val="0D97A2E6"/>
    <w:rsid w:val="0E0E161E"/>
    <w:rsid w:val="0E30C48B"/>
    <w:rsid w:val="0E347D74"/>
    <w:rsid w:val="0E7FAD8F"/>
    <w:rsid w:val="0E894D4E"/>
    <w:rsid w:val="0E9D3045"/>
    <w:rsid w:val="0EFD8BE8"/>
    <w:rsid w:val="0F22DF8E"/>
    <w:rsid w:val="0F81DAAD"/>
    <w:rsid w:val="0F906BB8"/>
    <w:rsid w:val="0FB4F380"/>
    <w:rsid w:val="0FC0DC5D"/>
    <w:rsid w:val="0FC9E975"/>
    <w:rsid w:val="0FDD0185"/>
    <w:rsid w:val="0FEDE1C2"/>
    <w:rsid w:val="10407DB5"/>
    <w:rsid w:val="108C7A44"/>
    <w:rsid w:val="10B2B710"/>
    <w:rsid w:val="10FD1272"/>
    <w:rsid w:val="112895F5"/>
    <w:rsid w:val="115101EB"/>
    <w:rsid w:val="118EE540"/>
    <w:rsid w:val="119B09CD"/>
    <w:rsid w:val="11D6C683"/>
    <w:rsid w:val="11DFCAC6"/>
    <w:rsid w:val="11E04C2D"/>
    <w:rsid w:val="12392E17"/>
    <w:rsid w:val="124E0E61"/>
    <w:rsid w:val="12EE6773"/>
    <w:rsid w:val="12F14D24"/>
    <w:rsid w:val="12F646CD"/>
    <w:rsid w:val="134DE207"/>
    <w:rsid w:val="13758F9B"/>
    <w:rsid w:val="138A0CC6"/>
    <w:rsid w:val="13B6AEBB"/>
    <w:rsid w:val="13FE8652"/>
    <w:rsid w:val="147B6CE3"/>
    <w:rsid w:val="14BDA2B5"/>
    <w:rsid w:val="14C72476"/>
    <w:rsid w:val="14D3028F"/>
    <w:rsid w:val="14E14E13"/>
    <w:rsid w:val="1506F90F"/>
    <w:rsid w:val="156B1F6A"/>
    <w:rsid w:val="15B614EC"/>
    <w:rsid w:val="1617D1D2"/>
    <w:rsid w:val="163AB5E8"/>
    <w:rsid w:val="16872FB1"/>
    <w:rsid w:val="16BF890D"/>
    <w:rsid w:val="17444F50"/>
    <w:rsid w:val="1758C1E4"/>
    <w:rsid w:val="17C4E65A"/>
    <w:rsid w:val="17E08833"/>
    <w:rsid w:val="17EA646D"/>
    <w:rsid w:val="1827781A"/>
    <w:rsid w:val="185C07F4"/>
    <w:rsid w:val="185D0119"/>
    <w:rsid w:val="186A404E"/>
    <w:rsid w:val="186B95CD"/>
    <w:rsid w:val="18976ABD"/>
    <w:rsid w:val="18D3B461"/>
    <w:rsid w:val="18FB87E8"/>
    <w:rsid w:val="1901498D"/>
    <w:rsid w:val="1906CCAE"/>
    <w:rsid w:val="1906F884"/>
    <w:rsid w:val="19245F77"/>
    <w:rsid w:val="198CA185"/>
    <w:rsid w:val="19A2BFAA"/>
    <w:rsid w:val="19E740C8"/>
    <w:rsid w:val="19EA02DC"/>
    <w:rsid w:val="19F61EFC"/>
    <w:rsid w:val="1A3257E1"/>
    <w:rsid w:val="1A3A00A7"/>
    <w:rsid w:val="1A603A71"/>
    <w:rsid w:val="1A6ABB4F"/>
    <w:rsid w:val="1A7A2C82"/>
    <w:rsid w:val="1A9523A5"/>
    <w:rsid w:val="1AD0B8A6"/>
    <w:rsid w:val="1B7C1B0D"/>
    <w:rsid w:val="1B8E1ECA"/>
    <w:rsid w:val="1BEBC005"/>
    <w:rsid w:val="1C1FC76E"/>
    <w:rsid w:val="1C4E6B69"/>
    <w:rsid w:val="1CD27BE7"/>
    <w:rsid w:val="1CD415A7"/>
    <w:rsid w:val="1CF9AFFC"/>
    <w:rsid w:val="1D3E04FD"/>
    <w:rsid w:val="1DC8DC4D"/>
    <w:rsid w:val="1E0145A9"/>
    <w:rsid w:val="1E404FF9"/>
    <w:rsid w:val="1E4196D6"/>
    <w:rsid w:val="1E4B13D3"/>
    <w:rsid w:val="1E6501D2"/>
    <w:rsid w:val="1E6C6675"/>
    <w:rsid w:val="1ECD7DE8"/>
    <w:rsid w:val="1EEBBA36"/>
    <w:rsid w:val="1F181477"/>
    <w:rsid w:val="1F33DE32"/>
    <w:rsid w:val="1F540871"/>
    <w:rsid w:val="1F543885"/>
    <w:rsid w:val="1F5D59BC"/>
    <w:rsid w:val="1F79A929"/>
    <w:rsid w:val="1FB6E56B"/>
    <w:rsid w:val="1FC5A753"/>
    <w:rsid w:val="1FEC2DE2"/>
    <w:rsid w:val="2068091F"/>
    <w:rsid w:val="20AFDE5D"/>
    <w:rsid w:val="20B6AB30"/>
    <w:rsid w:val="20E7DBCE"/>
    <w:rsid w:val="212252EB"/>
    <w:rsid w:val="21357849"/>
    <w:rsid w:val="21449E11"/>
    <w:rsid w:val="216C5CA5"/>
    <w:rsid w:val="2209CAE0"/>
    <w:rsid w:val="222846B2"/>
    <w:rsid w:val="222A608A"/>
    <w:rsid w:val="2238F3C3"/>
    <w:rsid w:val="22444C78"/>
    <w:rsid w:val="224B1865"/>
    <w:rsid w:val="224BBE8C"/>
    <w:rsid w:val="2273085F"/>
    <w:rsid w:val="22775158"/>
    <w:rsid w:val="227A5753"/>
    <w:rsid w:val="2316983D"/>
    <w:rsid w:val="232DC491"/>
    <w:rsid w:val="232F982F"/>
    <w:rsid w:val="2378E80A"/>
    <w:rsid w:val="23FC67C4"/>
    <w:rsid w:val="241EFF13"/>
    <w:rsid w:val="24DCDAE8"/>
    <w:rsid w:val="24FCFE7F"/>
    <w:rsid w:val="250A438F"/>
    <w:rsid w:val="2524EA8F"/>
    <w:rsid w:val="255E4475"/>
    <w:rsid w:val="25DA7B1C"/>
    <w:rsid w:val="262C6392"/>
    <w:rsid w:val="2646A8B1"/>
    <w:rsid w:val="26566F56"/>
    <w:rsid w:val="26B6E9A5"/>
    <w:rsid w:val="26B8260B"/>
    <w:rsid w:val="26F4C896"/>
    <w:rsid w:val="27224AB4"/>
    <w:rsid w:val="27260B73"/>
    <w:rsid w:val="27354FE1"/>
    <w:rsid w:val="277ADA93"/>
    <w:rsid w:val="27FF9E13"/>
    <w:rsid w:val="2805B0F8"/>
    <w:rsid w:val="28282AB5"/>
    <w:rsid w:val="2843D104"/>
    <w:rsid w:val="28445A16"/>
    <w:rsid w:val="28795786"/>
    <w:rsid w:val="288F55D3"/>
    <w:rsid w:val="28A94C27"/>
    <w:rsid w:val="28CE7060"/>
    <w:rsid w:val="292205D2"/>
    <w:rsid w:val="295114B0"/>
    <w:rsid w:val="29639ED0"/>
    <w:rsid w:val="297B38D6"/>
    <w:rsid w:val="29D0BC43"/>
    <w:rsid w:val="29F17585"/>
    <w:rsid w:val="2A463F74"/>
    <w:rsid w:val="2AABBBC4"/>
    <w:rsid w:val="2B344433"/>
    <w:rsid w:val="2B4A4DDF"/>
    <w:rsid w:val="2B6403AF"/>
    <w:rsid w:val="2B883C47"/>
    <w:rsid w:val="2BAB7BAA"/>
    <w:rsid w:val="2BF15010"/>
    <w:rsid w:val="2C0657C2"/>
    <w:rsid w:val="2C0DD405"/>
    <w:rsid w:val="2C372DBB"/>
    <w:rsid w:val="2C564743"/>
    <w:rsid w:val="2CB8FE15"/>
    <w:rsid w:val="2D692961"/>
    <w:rsid w:val="2DF4A187"/>
    <w:rsid w:val="2E953FA8"/>
    <w:rsid w:val="2ECA353A"/>
    <w:rsid w:val="2ED4A226"/>
    <w:rsid w:val="2EDCE1FE"/>
    <w:rsid w:val="2EEA6038"/>
    <w:rsid w:val="2EECC4CF"/>
    <w:rsid w:val="2F087BBB"/>
    <w:rsid w:val="2F26321E"/>
    <w:rsid w:val="2F27CC12"/>
    <w:rsid w:val="2F330771"/>
    <w:rsid w:val="2F3D8801"/>
    <w:rsid w:val="2F68C39F"/>
    <w:rsid w:val="2F7A217D"/>
    <w:rsid w:val="2FCEB2DC"/>
    <w:rsid w:val="2FE38F9A"/>
    <w:rsid w:val="2FFB2AE5"/>
    <w:rsid w:val="302A74D9"/>
    <w:rsid w:val="30521A56"/>
    <w:rsid w:val="3054BF61"/>
    <w:rsid w:val="30554974"/>
    <w:rsid w:val="30578BF5"/>
    <w:rsid w:val="305FA94A"/>
    <w:rsid w:val="30EA2663"/>
    <w:rsid w:val="30EAD235"/>
    <w:rsid w:val="311AD598"/>
    <w:rsid w:val="3153A2A2"/>
    <w:rsid w:val="319716F9"/>
    <w:rsid w:val="31CEADE7"/>
    <w:rsid w:val="32C1E980"/>
    <w:rsid w:val="32D1FD4A"/>
    <w:rsid w:val="33382407"/>
    <w:rsid w:val="336C0D0D"/>
    <w:rsid w:val="338D5757"/>
    <w:rsid w:val="33AD9F79"/>
    <w:rsid w:val="33CFE5EF"/>
    <w:rsid w:val="340D0A7A"/>
    <w:rsid w:val="3414E627"/>
    <w:rsid w:val="3442F0BA"/>
    <w:rsid w:val="346D20C2"/>
    <w:rsid w:val="347E2A13"/>
    <w:rsid w:val="349713EC"/>
    <w:rsid w:val="349FAF90"/>
    <w:rsid w:val="34E7A089"/>
    <w:rsid w:val="350AA81F"/>
    <w:rsid w:val="352FAD2C"/>
    <w:rsid w:val="3565C6BD"/>
    <w:rsid w:val="359A227B"/>
    <w:rsid w:val="35A340F8"/>
    <w:rsid w:val="35CF15D0"/>
    <w:rsid w:val="362EA1F3"/>
    <w:rsid w:val="364405EF"/>
    <w:rsid w:val="36A7DB7C"/>
    <w:rsid w:val="36DE1D1A"/>
    <w:rsid w:val="375AB956"/>
    <w:rsid w:val="375B0135"/>
    <w:rsid w:val="376CF080"/>
    <w:rsid w:val="3771B53D"/>
    <w:rsid w:val="37DC885C"/>
    <w:rsid w:val="37E43B98"/>
    <w:rsid w:val="3806155F"/>
    <w:rsid w:val="3824E110"/>
    <w:rsid w:val="3850EF05"/>
    <w:rsid w:val="387747B4"/>
    <w:rsid w:val="38802AA7"/>
    <w:rsid w:val="38BDD2D6"/>
    <w:rsid w:val="38C4B180"/>
    <w:rsid w:val="38C7B138"/>
    <w:rsid w:val="38C9D2E7"/>
    <w:rsid w:val="38D65D58"/>
    <w:rsid w:val="38DF5567"/>
    <w:rsid w:val="38F5E9B3"/>
    <w:rsid w:val="39B8EBF3"/>
    <w:rsid w:val="39BB5604"/>
    <w:rsid w:val="39EFBFA5"/>
    <w:rsid w:val="3A097A97"/>
    <w:rsid w:val="3A320128"/>
    <w:rsid w:val="3A3243AE"/>
    <w:rsid w:val="3A65E3AD"/>
    <w:rsid w:val="3A7B3A40"/>
    <w:rsid w:val="3AA08BA8"/>
    <w:rsid w:val="3B04E1D7"/>
    <w:rsid w:val="3B05AEB2"/>
    <w:rsid w:val="3B20B861"/>
    <w:rsid w:val="3BEDB3EB"/>
    <w:rsid w:val="3BF11422"/>
    <w:rsid w:val="3C3581CA"/>
    <w:rsid w:val="3C59CF65"/>
    <w:rsid w:val="3C673D46"/>
    <w:rsid w:val="3CAA2A54"/>
    <w:rsid w:val="3CBEFDF3"/>
    <w:rsid w:val="3D12D586"/>
    <w:rsid w:val="3D167B3E"/>
    <w:rsid w:val="3D1999D2"/>
    <w:rsid w:val="3D34A789"/>
    <w:rsid w:val="3D3DBA3E"/>
    <w:rsid w:val="3D5A1677"/>
    <w:rsid w:val="3D5B497C"/>
    <w:rsid w:val="3D6F67FD"/>
    <w:rsid w:val="3DC969B3"/>
    <w:rsid w:val="3DE4F437"/>
    <w:rsid w:val="3DF3E8FC"/>
    <w:rsid w:val="3E052800"/>
    <w:rsid w:val="3E13A62C"/>
    <w:rsid w:val="3E501FE6"/>
    <w:rsid w:val="3E877C03"/>
    <w:rsid w:val="3EC28BC7"/>
    <w:rsid w:val="3EDDB03C"/>
    <w:rsid w:val="3EEDED31"/>
    <w:rsid w:val="3EF62A54"/>
    <w:rsid w:val="3F1978B5"/>
    <w:rsid w:val="3F31B61F"/>
    <w:rsid w:val="3F493AD5"/>
    <w:rsid w:val="3FB45E29"/>
    <w:rsid w:val="401D790B"/>
    <w:rsid w:val="40387B12"/>
    <w:rsid w:val="404BA184"/>
    <w:rsid w:val="405A931C"/>
    <w:rsid w:val="408A0D92"/>
    <w:rsid w:val="40CD2E55"/>
    <w:rsid w:val="40D3F66C"/>
    <w:rsid w:val="40FA37D4"/>
    <w:rsid w:val="41384F50"/>
    <w:rsid w:val="417DC1A8"/>
    <w:rsid w:val="41CBBD89"/>
    <w:rsid w:val="422135A6"/>
    <w:rsid w:val="4225CD5C"/>
    <w:rsid w:val="4227D7AF"/>
    <w:rsid w:val="422C7703"/>
    <w:rsid w:val="4250AB3B"/>
    <w:rsid w:val="425D1BC5"/>
    <w:rsid w:val="428F3FDD"/>
    <w:rsid w:val="42AC1849"/>
    <w:rsid w:val="42FF736D"/>
    <w:rsid w:val="4364943F"/>
    <w:rsid w:val="4374A3BD"/>
    <w:rsid w:val="43950886"/>
    <w:rsid w:val="43968F96"/>
    <w:rsid w:val="43ED1665"/>
    <w:rsid w:val="4442080D"/>
    <w:rsid w:val="4484125B"/>
    <w:rsid w:val="449234BF"/>
    <w:rsid w:val="449F6ECB"/>
    <w:rsid w:val="44C81808"/>
    <w:rsid w:val="44DCE52B"/>
    <w:rsid w:val="44DD02E5"/>
    <w:rsid w:val="44E135F4"/>
    <w:rsid w:val="44E67297"/>
    <w:rsid w:val="44ECA313"/>
    <w:rsid w:val="450E4B23"/>
    <w:rsid w:val="454B2FE5"/>
    <w:rsid w:val="45557C7F"/>
    <w:rsid w:val="455D29D4"/>
    <w:rsid w:val="45699E5B"/>
    <w:rsid w:val="45849368"/>
    <w:rsid w:val="458C941A"/>
    <w:rsid w:val="45BFCECD"/>
    <w:rsid w:val="45C3A713"/>
    <w:rsid w:val="45CD785E"/>
    <w:rsid w:val="45E963C3"/>
    <w:rsid w:val="45F4A10B"/>
    <w:rsid w:val="45F8A4C0"/>
    <w:rsid w:val="45FAEBB8"/>
    <w:rsid w:val="4613E895"/>
    <w:rsid w:val="466A25DF"/>
    <w:rsid w:val="46BB2BF9"/>
    <w:rsid w:val="46C4DE6D"/>
    <w:rsid w:val="46EF3FFD"/>
    <w:rsid w:val="478BBF67"/>
    <w:rsid w:val="48873060"/>
    <w:rsid w:val="48A355D4"/>
    <w:rsid w:val="48BB1C35"/>
    <w:rsid w:val="48EC7F4D"/>
    <w:rsid w:val="491BA7D8"/>
    <w:rsid w:val="4946392B"/>
    <w:rsid w:val="4953791A"/>
    <w:rsid w:val="498DF300"/>
    <w:rsid w:val="49962023"/>
    <w:rsid w:val="49AEC8AB"/>
    <w:rsid w:val="49C5AEB8"/>
    <w:rsid w:val="49D99AD4"/>
    <w:rsid w:val="49DE5D41"/>
    <w:rsid w:val="49FECF40"/>
    <w:rsid w:val="4A01D297"/>
    <w:rsid w:val="4A3C8E8C"/>
    <w:rsid w:val="4A74495F"/>
    <w:rsid w:val="4A76B250"/>
    <w:rsid w:val="4A9712AE"/>
    <w:rsid w:val="4AC87BBA"/>
    <w:rsid w:val="4AD6E3A0"/>
    <w:rsid w:val="4AED314D"/>
    <w:rsid w:val="4B00A7A8"/>
    <w:rsid w:val="4B1316CB"/>
    <w:rsid w:val="4B9B19B3"/>
    <w:rsid w:val="4BEF788B"/>
    <w:rsid w:val="4C3DACB1"/>
    <w:rsid w:val="4C610077"/>
    <w:rsid w:val="4C8A57D2"/>
    <w:rsid w:val="4C9D181C"/>
    <w:rsid w:val="4CAC58DF"/>
    <w:rsid w:val="4CC087A3"/>
    <w:rsid w:val="4D0A9D31"/>
    <w:rsid w:val="4D353CF3"/>
    <w:rsid w:val="4D805D68"/>
    <w:rsid w:val="4D84D89D"/>
    <w:rsid w:val="4D8CA58A"/>
    <w:rsid w:val="4DABA629"/>
    <w:rsid w:val="4DC23575"/>
    <w:rsid w:val="4DC2C9DA"/>
    <w:rsid w:val="4E0734B9"/>
    <w:rsid w:val="4E0D721D"/>
    <w:rsid w:val="4E0E6E74"/>
    <w:rsid w:val="4E1FF303"/>
    <w:rsid w:val="4E27957C"/>
    <w:rsid w:val="4E597AFE"/>
    <w:rsid w:val="4EAE186F"/>
    <w:rsid w:val="4EC98C98"/>
    <w:rsid w:val="4F6203F5"/>
    <w:rsid w:val="4FA9C85E"/>
    <w:rsid w:val="4FCE2762"/>
    <w:rsid w:val="4FE68066"/>
    <w:rsid w:val="4FED99EB"/>
    <w:rsid w:val="4FF3FE01"/>
    <w:rsid w:val="4FF5EDD9"/>
    <w:rsid w:val="5003449F"/>
    <w:rsid w:val="500C7E44"/>
    <w:rsid w:val="50141ACB"/>
    <w:rsid w:val="502677F8"/>
    <w:rsid w:val="5035A0C6"/>
    <w:rsid w:val="503C3390"/>
    <w:rsid w:val="504AAFF2"/>
    <w:rsid w:val="5085C269"/>
    <w:rsid w:val="509AF77E"/>
    <w:rsid w:val="51127173"/>
    <w:rsid w:val="51355599"/>
    <w:rsid w:val="51398FBD"/>
    <w:rsid w:val="515E756D"/>
    <w:rsid w:val="5165C2EC"/>
    <w:rsid w:val="516F1854"/>
    <w:rsid w:val="51AF26FB"/>
    <w:rsid w:val="52181FC8"/>
    <w:rsid w:val="5242BEBD"/>
    <w:rsid w:val="5244A334"/>
    <w:rsid w:val="525F736E"/>
    <w:rsid w:val="526D95DD"/>
    <w:rsid w:val="528ADCFB"/>
    <w:rsid w:val="52A5BD5E"/>
    <w:rsid w:val="52E527BE"/>
    <w:rsid w:val="5312FA9E"/>
    <w:rsid w:val="534F47BE"/>
    <w:rsid w:val="5386490E"/>
    <w:rsid w:val="538D43C1"/>
    <w:rsid w:val="53935F54"/>
    <w:rsid w:val="53A1E95A"/>
    <w:rsid w:val="53C44C65"/>
    <w:rsid w:val="546E4157"/>
    <w:rsid w:val="5472508D"/>
    <w:rsid w:val="547778A1"/>
    <w:rsid w:val="54C9E0BB"/>
    <w:rsid w:val="54F10851"/>
    <w:rsid w:val="54FCF601"/>
    <w:rsid w:val="553D0D08"/>
    <w:rsid w:val="553F0C85"/>
    <w:rsid w:val="555E38AB"/>
    <w:rsid w:val="55E2A2C8"/>
    <w:rsid w:val="56239BF1"/>
    <w:rsid w:val="562FC965"/>
    <w:rsid w:val="56368C5A"/>
    <w:rsid w:val="563B765D"/>
    <w:rsid w:val="564A905D"/>
    <w:rsid w:val="56898EB5"/>
    <w:rsid w:val="56DCE593"/>
    <w:rsid w:val="56E3F322"/>
    <w:rsid w:val="571CE607"/>
    <w:rsid w:val="57453467"/>
    <w:rsid w:val="5746D3F1"/>
    <w:rsid w:val="5764F206"/>
    <w:rsid w:val="576E7F0C"/>
    <w:rsid w:val="57732B85"/>
    <w:rsid w:val="579C884C"/>
    <w:rsid w:val="57B6D8A4"/>
    <w:rsid w:val="57CA9D58"/>
    <w:rsid w:val="57CCA9F4"/>
    <w:rsid w:val="57D7F0BF"/>
    <w:rsid w:val="583AF5B4"/>
    <w:rsid w:val="583C9404"/>
    <w:rsid w:val="58802D7A"/>
    <w:rsid w:val="5880ECD6"/>
    <w:rsid w:val="5898ECC3"/>
    <w:rsid w:val="58A5E1D7"/>
    <w:rsid w:val="58B2AD72"/>
    <w:rsid w:val="58BD3A1A"/>
    <w:rsid w:val="591F3472"/>
    <w:rsid w:val="59535838"/>
    <w:rsid w:val="59579BF4"/>
    <w:rsid w:val="59C9D2D1"/>
    <w:rsid w:val="59E75687"/>
    <w:rsid w:val="5A847B7E"/>
    <w:rsid w:val="5A9407DA"/>
    <w:rsid w:val="5A97BCE9"/>
    <w:rsid w:val="5AA8E813"/>
    <w:rsid w:val="5B053BB2"/>
    <w:rsid w:val="5B0E1555"/>
    <w:rsid w:val="5B14D8E1"/>
    <w:rsid w:val="5B3ECEFF"/>
    <w:rsid w:val="5B4F2A80"/>
    <w:rsid w:val="5B969D9A"/>
    <w:rsid w:val="5C730B45"/>
    <w:rsid w:val="5C766BE4"/>
    <w:rsid w:val="5C95CB10"/>
    <w:rsid w:val="5CA3E9B6"/>
    <w:rsid w:val="5CA7139B"/>
    <w:rsid w:val="5CCEAD2D"/>
    <w:rsid w:val="5CCF9D43"/>
    <w:rsid w:val="5D0477C9"/>
    <w:rsid w:val="5D1D4A29"/>
    <w:rsid w:val="5D6B67D4"/>
    <w:rsid w:val="5DC174D3"/>
    <w:rsid w:val="5E0EAC94"/>
    <w:rsid w:val="5E0F6CFC"/>
    <w:rsid w:val="5E1AD843"/>
    <w:rsid w:val="5E6AA1CF"/>
    <w:rsid w:val="5EA25F6E"/>
    <w:rsid w:val="5EA61652"/>
    <w:rsid w:val="5EB8D6A7"/>
    <w:rsid w:val="5EC36A8E"/>
    <w:rsid w:val="5EC8770C"/>
    <w:rsid w:val="5F2531E3"/>
    <w:rsid w:val="5F41D3FB"/>
    <w:rsid w:val="5FA6931E"/>
    <w:rsid w:val="5FCB886B"/>
    <w:rsid w:val="5FF32AB6"/>
    <w:rsid w:val="5FF38FC7"/>
    <w:rsid w:val="5FF7203D"/>
    <w:rsid w:val="612F4051"/>
    <w:rsid w:val="615FFFA4"/>
    <w:rsid w:val="61763626"/>
    <w:rsid w:val="6179939E"/>
    <w:rsid w:val="61860D22"/>
    <w:rsid w:val="61AE4E4F"/>
    <w:rsid w:val="61CD0E7E"/>
    <w:rsid w:val="61DB62D3"/>
    <w:rsid w:val="6227E89A"/>
    <w:rsid w:val="6249EAF3"/>
    <w:rsid w:val="625B3951"/>
    <w:rsid w:val="625EA7F6"/>
    <w:rsid w:val="626C13A5"/>
    <w:rsid w:val="628C3786"/>
    <w:rsid w:val="62C0607B"/>
    <w:rsid w:val="62C23091"/>
    <w:rsid w:val="62C6CB99"/>
    <w:rsid w:val="631F5C78"/>
    <w:rsid w:val="63434A47"/>
    <w:rsid w:val="63D644A0"/>
    <w:rsid w:val="63E35D80"/>
    <w:rsid w:val="64231976"/>
    <w:rsid w:val="64278368"/>
    <w:rsid w:val="642D0DF7"/>
    <w:rsid w:val="6431B3B8"/>
    <w:rsid w:val="6464DBA2"/>
    <w:rsid w:val="647DF3F1"/>
    <w:rsid w:val="64D1AD10"/>
    <w:rsid w:val="64DD0681"/>
    <w:rsid w:val="64F559F5"/>
    <w:rsid w:val="6522E331"/>
    <w:rsid w:val="6537B9AB"/>
    <w:rsid w:val="65496B72"/>
    <w:rsid w:val="65570E61"/>
    <w:rsid w:val="65814174"/>
    <w:rsid w:val="65B96E69"/>
    <w:rsid w:val="65D1457C"/>
    <w:rsid w:val="660660CD"/>
    <w:rsid w:val="667E81AD"/>
    <w:rsid w:val="66DBBC10"/>
    <w:rsid w:val="66E84F99"/>
    <w:rsid w:val="6704C70D"/>
    <w:rsid w:val="672153AA"/>
    <w:rsid w:val="675640E4"/>
    <w:rsid w:val="677A8733"/>
    <w:rsid w:val="67A598E7"/>
    <w:rsid w:val="67BFD7B8"/>
    <w:rsid w:val="67C5BE0E"/>
    <w:rsid w:val="67CEAAAE"/>
    <w:rsid w:val="680D1B9F"/>
    <w:rsid w:val="68126A7C"/>
    <w:rsid w:val="68229EA2"/>
    <w:rsid w:val="68373E0A"/>
    <w:rsid w:val="684103F2"/>
    <w:rsid w:val="690D8106"/>
    <w:rsid w:val="69112F1E"/>
    <w:rsid w:val="692002BB"/>
    <w:rsid w:val="6965A0DA"/>
    <w:rsid w:val="69709584"/>
    <w:rsid w:val="699AF6AD"/>
    <w:rsid w:val="69C02445"/>
    <w:rsid w:val="69EF5B87"/>
    <w:rsid w:val="69F16A89"/>
    <w:rsid w:val="6A278357"/>
    <w:rsid w:val="6A2CD3A8"/>
    <w:rsid w:val="6AB22486"/>
    <w:rsid w:val="6AB93775"/>
    <w:rsid w:val="6AD945E2"/>
    <w:rsid w:val="6AFE5B0F"/>
    <w:rsid w:val="6BCF8400"/>
    <w:rsid w:val="6BD5A484"/>
    <w:rsid w:val="6BF057C4"/>
    <w:rsid w:val="6C2A8F3F"/>
    <w:rsid w:val="6C904124"/>
    <w:rsid w:val="6C98088D"/>
    <w:rsid w:val="6CA464C0"/>
    <w:rsid w:val="6CDC9C43"/>
    <w:rsid w:val="6CE6F901"/>
    <w:rsid w:val="6CEE2CA1"/>
    <w:rsid w:val="6D05F92E"/>
    <w:rsid w:val="6D15683D"/>
    <w:rsid w:val="6D555E8E"/>
    <w:rsid w:val="6D733EA7"/>
    <w:rsid w:val="6D8F9A3A"/>
    <w:rsid w:val="6DB66E72"/>
    <w:rsid w:val="6DF7635B"/>
    <w:rsid w:val="6E0844CF"/>
    <w:rsid w:val="6E30807E"/>
    <w:rsid w:val="6E3719F9"/>
    <w:rsid w:val="6E4CE9BB"/>
    <w:rsid w:val="6EF36FF4"/>
    <w:rsid w:val="6F24C611"/>
    <w:rsid w:val="6F460338"/>
    <w:rsid w:val="6F6BFFD1"/>
    <w:rsid w:val="6F8ED88C"/>
    <w:rsid w:val="6FB77569"/>
    <w:rsid w:val="6FCD9E3A"/>
    <w:rsid w:val="6FDEC841"/>
    <w:rsid w:val="6FEA8AD8"/>
    <w:rsid w:val="7059FCDA"/>
    <w:rsid w:val="705C3D9D"/>
    <w:rsid w:val="7075F32E"/>
    <w:rsid w:val="70875B9B"/>
    <w:rsid w:val="70AE5767"/>
    <w:rsid w:val="70F3CA07"/>
    <w:rsid w:val="71163FA6"/>
    <w:rsid w:val="719BA6C5"/>
    <w:rsid w:val="71D820C7"/>
    <w:rsid w:val="71FAF782"/>
    <w:rsid w:val="71FB85FE"/>
    <w:rsid w:val="724AA954"/>
    <w:rsid w:val="72C6BDFF"/>
    <w:rsid w:val="72CE8FAA"/>
    <w:rsid w:val="72F35858"/>
    <w:rsid w:val="730D996B"/>
    <w:rsid w:val="73345B15"/>
    <w:rsid w:val="739CFFC8"/>
    <w:rsid w:val="73C9BED2"/>
    <w:rsid w:val="73C9D123"/>
    <w:rsid w:val="73DFABA7"/>
    <w:rsid w:val="73EFE047"/>
    <w:rsid w:val="7433C132"/>
    <w:rsid w:val="746BA264"/>
    <w:rsid w:val="7489396E"/>
    <w:rsid w:val="74EBB613"/>
    <w:rsid w:val="75148173"/>
    <w:rsid w:val="7523EF80"/>
    <w:rsid w:val="7578D75E"/>
    <w:rsid w:val="7579396F"/>
    <w:rsid w:val="7589726C"/>
    <w:rsid w:val="75ADE627"/>
    <w:rsid w:val="75BD3475"/>
    <w:rsid w:val="76446517"/>
    <w:rsid w:val="766B16E3"/>
    <w:rsid w:val="76A3EE64"/>
    <w:rsid w:val="7763BBA9"/>
    <w:rsid w:val="77799D16"/>
    <w:rsid w:val="77A4C03E"/>
    <w:rsid w:val="77A7A5F3"/>
    <w:rsid w:val="77E4DFE0"/>
    <w:rsid w:val="77EFF3AB"/>
    <w:rsid w:val="7847B30B"/>
    <w:rsid w:val="78570138"/>
    <w:rsid w:val="7890D017"/>
    <w:rsid w:val="789A8D2F"/>
    <w:rsid w:val="78C8D79B"/>
    <w:rsid w:val="790F53C4"/>
    <w:rsid w:val="79CB6583"/>
    <w:rsid w:val="79F140FF"/>
    <w:rsid w:val="7A63E767"/>
    <w:rsid w:val="7A67322D"/>
    <w:rsid w:val="7A70A5E5"/>
    <w:rsid w:val="7A729C2B"/>
    <w:rsid w:val="7AA5CFD1"/>
    <w:rsid w:val="7AAFC75D"/>
    <w:rsid w:val="7ADD693A"/>
    <w:rsid w:val="7AEC8B33"/>
    <w:rsid w:val="7AF53001"/>
    <w:rsid w:val="7B2AB39F"/>
    <w:rsid w:val="7B2EBADD"/>
    <w:rsid w:val="7B3244B0"/>
    <w:rsid w:val="7B4E730F"/>
    <w:rsid w:val="7B7B3A64"/>
    <w:rsid w:val="7B7E8E95"/>
    <w:rsid w:val="7B89EF9D"/>
    <w:rsid w:val="7BB38C0D"/>
    <w:rsid w:val="7BBF8BB3"/>
    <w:rsid w:val="7BD1F4E9"/>
    <w:rsid w:val="7BE51BBA"/>
    <w:rsid w:val="7BEB711F"/>
    <w:rsid w:val="7BFF2679"/>
    <w:rsid w:val="7C15713E"/>
    <w:rsid w:val="7C290558"/>
    <w:rsid w:val="7C7C2B12"/>
    <w:rsid w:val="7CAEA0A8"/>
    <w:rsid w:val="7CFA8064"/>
    <w:rsid w:val="7D47B1D8"/>
    <w:rsid w:val="7D4D9984"/>
    <w:rsid w:val="7D5A4160"/>
    <w:rsid w:val="7D8A4F5D"/>
    <w:rsid w:val="7E01FB06"/>
    <w:rsid w:val="7E0E78FD"/>
    <w:rsid w:val="7E1EFEE7"/>
    <w:rsid w:val="7E21CBA9"/>
    <w:rsid w:val="7E9B4C65"/>
    <w:rsid w:val="7EADBE7A"/>
    <w:rsid w:val="7EB160C4"/>
    <w:rsid w:val="7F0A449E"/>
    <w:rsid w:val="7F1F167C"/>
    <w:rsid w:val="7F4FFF7C"/>
    <w:rsid w:val="7FA0D671"/>
    <w:rsid w:val="7FBF3856"/>
    <w:rsid w:val="7FEEBDF8"/>
    <w:rsid w:val="7FF146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2BFAA"/>
  <w15:chartTrackingRefBased/>
  <w15:docId w15:val="{A286F86A-6C4A-43F3-81D4-BD97406E3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7A63E767"/>
    <w:rPr>
      <w:sz w:val="22"/>
      <w:szCs w:val="22"/>
    </w:rPr>
  </w:style>
  <w:style w:type="paragraph" w:styleId="Heading1">
    <w:name w:val="heading 1"/>
    <w:basedOn w:val="Normal"/>
    <w:next w:val="Normal"/>
    <w:link w:val="Heading1Char"/>
    <w:uiPriority w:val="9"/>
    <w:qFormat/>
    <w:rsid w:val="7A63E76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7A63E76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7A63E7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7A63E7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7A63E7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7A63E7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7A63E7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7A63E767"/>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7A63E767"/>
    <w:pPr>
      <w:keepNext/>
      <w:keepLines/>
      <w:spacing w:after="0"/>
      <w:outlineLvl w:val="8"/>
    </w:pPr>
    <w:rPr>
      <w:rFonts w:eastAsiaTheme="majorEastAsia" w:cstheme="majorBidi"/>
      <w:color w:val="2727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rsid w:val="7A63E767"/>
    <w:pPr>
      <w:spacing w:after="80" w:line="240" w:lineRule="auto"/>
      <w:contextualSpacing/>
    </w:pPr>
    <w:rPr>
      <w:rFonts w:asciiTheme="majorHAnsi" w:hAnsiTheme="majorHAnsi" w:eastAsiaTheme="majorEastAsia" w:cstheme="majorBidi"/>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7A63E767"/>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7A63E767"/>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7A63E76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49DE5D41"/>
    <w:rPr>
      <w:color w:val="467886"/>
      <w:u w:val="single"/>
    </w:rPr>
  </w:style>
  <w:style w:type="paragraph" w:styleId="ListParagraph">
    <w:name w:val="List Paragraph"/>
    <w:basedOn w:val="Normal"/>
    <w:uiPriority w:val="34"/>
    <w:qFormat/>
    <w:rsid w:val="7A63E767"/>
    <w:pPr>
      <w:ind w:left="720"/>
      <w:contextualSpacing/>
    </w:pPr>
  </w:style>
  <w:style w:type="paragraph" w:styleId="Header">
    <w:name w:val="header"/>
    <w:basedOn w:val="Normal"/>
    <w:uiPriority w:val="99"/>
    <w:unhideWhenUsed/>
    <w:rsid w:val="73C9BED2"/>
    <w:pPr>
      <w:tabs>
        <w:tab w:val="center" w:pos="4680"/>
        <w:tab w:val="right" w:pos="9360"/>
      </w:tabs>
      <w:spacing w:after="0" w:line="240" w:lineRule="auto"/>
    </w:pPr>
  </w:style>
  <w:style w:type="paragraph" w:styleId="Footer">
    <w:name w:val="footer"/>
    <w:basedOn w:val="Normal"/>
    <w:uiPriority w:val="99"/>
    <w:unhideWhenUsed/>
    <w:rsid w:val="73C9BED2"/>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bctc.edu/resources/documents/colleges-staff/programs-services/professional-technical/par-guidelines-july-2025.pdf" TargetMode="External" Id="rId13" /><Relationship Type="http://schemas.openxmlformats.org/officeDocument/2006/relationships/hyperlink" Target="https://docs.google.com/document/d/1495rVVuXpdGncLGpKG-eUUaWZHm0OwDPWpHXb-MjjKM/edit?usp=sharing" TargetMode="External" Id="rId18" /><Relationship Type="http://schemas.openxmlformats.org/officeDocument/2006/relationships/hyperlink" Target="https://eddesignlab.org/microcredentialing/" TargetMode="External" Id="rId26" /><Relationship Type="http://schemas.openxmlformats.org/officeDocument/2006/relationships/hyperlink" Target="https://nces.ed.gov/ipeds/pdf/NPEC/data/NPEC_Paper_Noncredit_Enrollment_and_Related_Activities.pdf" TargetMode="External" Id="rId39" /><Relationship Type="http://schemas.openxmlformats.org/officeDocument/2006/relationships/hyperlink" Target="https://sbctcedu-my.sharepoint.com/my?id=%2Fpersonal%2Fcmckinnon%5Fsbctc%5Fedu%2FDocuments%2FNon%2DCredit%20Task%20Force%2FResources%2FCompetency%2DBased%20Education%20%28CBE%29%2FCBE%20Quality%20Framework%2Epdf&amp;parent=%2Fpersonal%2Fcmckinnon%5Fsbctc%5Fedu%2FDocuments%2FNon%2DCredit%20Task%20Force%2FResources%2FCompetency%2DBased%20Education%20%28CBE%29&amp;viewid=c8ed5506%2D4ec8%2D4aa9%2D8bc4%2Dc1f6c1a30d75" TargetMode="External" Id="rId21" /><Relationship Type="http://schemas.openxmlformats.org/officeDocument/2006/relationships/hyperlink" Target="https://upcea.edu/why-credential-terminology-matters-in-higher-education-and-workforce-development/" TargetMode="External" Id="rId34" /><Relationship Type="http://schemas.openxmlformats.org/officeDocument/2006/relationships/hyperlink" Target="https://www.sbctc.edu/resources/documents/colleges-staff/data-services/data-warehouse/cned-coding-manual.pdf" TargetMode="External" Id="rId42" /><Relationship Type="http://schemas.openxmlformats.org/officeDocument/2006/relationships/hyperlink" Target="https://www.sbctc.edu/about/communications/key-data-and-terms" TargetMode="External" Id="rId47" /><Relationship Type="http://schemas.openxmlformats.org/officeDocument/2006/relationships/header" Target="header1.xml" Id="rId50" /><Relationship Type="http://schemas.openxmlformats.org/officeDocument/2006/relationships/hyperlink" Target="https://wsac.wa.gov/assessments-prior-learning" TargetMode="External" Id="rId7" /><Relationship Type="http://schemas.openxmlformats.org/officeDocument/2006/relationships/styles" Target="styles.xml" Id="rId2" /><Relationship Type="http://schemas.openxmlformats.org/officeDocument/2006/relationships/hyperlink" Target="https://www.sbctc.edu/resources/documents/colleges-staff/programs-services/professional-technical/par-guidelines-july-2025.pdf" TargetMode="External" Id="rId16" /><Relationship Type="http://schemas.openxmlformats.org/officeDocument/2006/relationships/hyperlink" Target="https://drive.google.com/drive/folders/1roY0ZX35zg3q2shWU4ygqyuP1ZzDNlr7" TargetMode="External" Id="rId29" /><Relationship Type="http://schemas.openxmlformats.org/officeDocument/2006/relationships/hyperlink" Target="https://edstrategy.org/building-pathways-between-non-credit-and-credit-programs-where-to-begin/" TargetMode="External" Id="rId11" /><Relationship Type="http://schemas.openxmlformats.org/officeDocument/2006/relationships/hyperlink" Target="https://www.sbctc.edu/resources/documents/colleges-staff/policies-rules/policy-manual/guidelines-for-articulation-using-the-direct-transcription-method.pdf" TargetMode="External" Id="rId24" /><Relationship Type="http://schemas.openxmlformats.org/officeDocument/2006/relationships/hyperlink" Target="https://docs.google.com/document/d/1495rVVuXpdGncLGpKG-eUUaWZHm0OwDPWpHXb-MjjKM/edit?usp=sharing" TargetMode="External" Id="rId32" /><Relationship Type="http://schemas.openxmlformats.org/officeDocument/2006/relationships/hyperlink" Target="https://upcea.edu/wp-content/uploads/2021/06/UPCEA-MindEdge-Report-Noncredit-to-Credit-Pathways-to-Higher-Education_April-2021.pdf" TargetMode="External" Id="rId37" /><Relationship Type="http://schemas.openxmlformats.org/officeDocument/2006/relationships/hyperlink" Target="https://nces.ed.gov/ipeds/pdf/NPEC/data/NPEC_Paper_Noncredit_Enrollment_and_Related_Activities.pdf" TargetMode="External" Id="rId40" /><Relationship Type="http://schemas.openxmlformats.org/officeDocument/2006/relationships/hyperlink" Target="https://drive.google.com/drive/folders/1roY0ZX35zg3q2shWU4ygqyuP1ZzDNlr7" TargetMode="External" Id="rId45" /><Relationship Type="http://schemas.openxmlformats.org/officeDocument/2006/relationships/theme" Target="theme/theme1.xml" Id="rId53" /><Relationship Type="http://schemas.openxmlformats.org/officeDocument/2006/relationships/footnotes" Target="footnotes.xml" Id="rId5" /><Relationship Type="http://schemas.openxmlformats.org/officeDocument/2006/relationships/hyperlink" Target="https://www.shrm.org/content/dam/en/shrm/about/press-room/Making-Alternative-Credentials-Work-A-New-Strategy-for-HR-Professionals.pdf" TargetMode="External" Id="rId10" /><Relationship Type="http://schemas.openxmlformats.org/officeDocument/2006/relationships/hyperlink" Target="https://drive.google.com/drive/folders/1roY0ZX35zg3q2shWU4ygqyuP1ZzDNlr7" TargetMode="External" Id="rId19" /><Relationship Type="http://schemas.openxmlformats.org/officeDocument/2006/relationships/hyperlink" Target="https://eddesignlab.org/microcredentialing/" TargetMode="External" Id="rId31" /><Relationship Type="http://schemas.openxmlformats.org/officeDocument/2006/relationships/hyperlink" Target="https://app.leg.wa.gov/rcw/default.aspx?cite=28B.50.140" TargetMode="External" Id="rId44" /><Relationship Type="http://schemas.openxmlformats.org/officeDocument/2006/relationships/fontTable" Target="fontTable.xml" Id="rId52" /><Relationship Type="http://schemas.openxmlformats.org/officeDocument/2006/relationships/webSettings" Target="webSettings.xml" Id="rId4" /><Relationship Type="http://schemas.openxmlformats.org/officeDocument/2006/relationships/hyperlink" Target="https://www.sbctc.edu/colleges-staff/data-services/coding-and-reporting-guidelines.aspx" TargetMode="External" Id="rId9" /><Relationship Type="http://schemas.openxmlformats.org/officeDocument/2006/relationships/hyperlink" Target="http://app.leg.wa.gov/RCW/default.aspx?cite=28A.700.010" TargetMode="External" Id="rId14" /><Relationship Type="http://schemas.openxmlformats.org/officeDocument/2006/relationships/hyperlink" Target="https://www.sbctc.edu/resources/documents/colleges-staff/data-services/data-warehouse/cned-coding-manual.pdf" TargetMode="External" Id="rId22" /><Relationship Type="http://schemas.openxmlformats.org/officeDocument/2006/relationships/hyperlink" Target="https://educationtoworkforce.org/indicators/industry-recognized-credential" TargetMode="External" Id="rId27" /><Relationship Type="http://schemas.openxmlformats.org/officeDocument/2006/relationships/hyperlink" Target="https://docs.google.com/document/d/1495rVVuXpdGncLGpKG-eUUaWZHm0OwDPWpHXb-MjjKM/edit?usp=sharing" TargetMode="External" Id="rId30" /><Relationship Type="http://schemas.openxmlformats.org/officeDocument/2006/relationships/hyperlink" Target="https://nationalskillscoalition.org/resource/publications/expanding-opportunities-defining-quality-non-degree-credentials-for-states/" TargetMode="External" Id="rId35" /><Relationship Type="http://schemas.openxmlformats.org/officeDocument/2006/relationships/hyperlink" Target="https://www.sbctc.edu/resources/documents/colleges-staff/programs-services/professional-technical/par-guidelines-july-2025.pdf" TargetMode="External" Id="rId43" /><Relationship Type="http://schemas.openxmlformats.org/officeDocument/2006/relationships/hyperlink" Target="https://upcea.edu/why-credential-terminology-matters-in-higher-education-and-workforce-development/" TargetMode="External" Id="rId48" /><Relationship Type="http://schemas.openxmlformats.org/officeDocument/2006/relationships/hyperlink" Target="https://wsac.wa.gov/transfers" TargetMode="External" Id="rId8" /><Relationship Type="http://schemas.openxmlformats.org/officeDocument/2006/relationships/footer" Target="footer1.xml" Id="rId51" /><Relationship Type="http://schemas.openxmlformats.org/officeDocument/2006/relationships/settings" Target="settings.xml" Id="rId3" /><Relationship Type="http://schemas.openxmlformats.org/officeDocument/2006/relationships/hyperlink" Target="https://edstrategy.org/wp-content/uploads/2020/10/Case-Study-Developing-Bridge-Tools-to-Award-Credit_FINAL.pdf" TargetMode="External" Id="rId12" /><Relationship Type="http://schemas.openxmlformats.org/officeDocument/2006/relationships/hyperlink" Target="https://drive.google.com/drive/folders/1roY0ZX35zg3q2shWU4ygqyuP1ZzDNlr7" TargetMode="External" Id="rId17" /><Relationship Type="http://schemas.openxmlformats.org/officeDocument/2006/relationships/hyperlink" Target="https://docs.google.com/document/d/1495rVVuXpdGncLGpKG-eUUaWZHm0OwDPWpHXb-MjjKM/edit?usp=sharing" TargetMode="External" Id="rId25" /><Relationship Type="http://schemas.openxmlformats.org/officeDocument/2006/relationships/hyperlink" Target="https://eddesignlab.org/microcredentialing/" TargetMode="External" Id="rId33" /><Relationship Type="http://schemas.openxmlformats.org/officeDocument/2006/relationships/hyperlink" Target="https://edstrategy.wpengine.com/resource/a-more-unified-community-college/" TargetMode="External" Id="rId38" /><Relationship Type="http://schemas.openxmlformats.org/officeDocument/2006/relationships/hyperlink" Target="https://docs.google.com/document/d/1495rVVuXpdGncLGpKG-eUUaWZHm0OwDPWpHXb-MjjKM/edit?usp=sharing" TargetMode="External" Id="rId46" /><Relationship Type="http://schemas.openxmlformats.org/officeDocument/2006/relationships/hyperlink" Target="http://app.leg.wa.gov/RCW/default.aspx?cite=28A.620.020" TargetMode="External" Id="rId20" /><Relationship Type="http://schemas.openxmlformats.org/officeDocument/2006/relationships/hyperlink" Target="https://www.sbctc.edu/resources/documents/colleges-staff/data-services/data-warehouse/cned-coding-manual.pdf" TargetMode="External" Id="rId41" /><Relationship Type="http://schemas.microsoft.com/office/2020/10/relationships/intelligence" Target="intelligence2.xml" Id="rId54"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ospi.k12.wa.us/student-success/career-technical-education-cte" TargetMode="External" Id="rId15" /><Relationship Type="http://schemas.openxmlformats.org/officeDocument/2006/relationships/hyperlink" Target="https://docs.google.com/document/d/1495rVVuXpdGncLGpKG-eUUaWZHm0OwDPWpHXb-MjjKM/edit?usp=sharing" TargetMode="External" Id="rId23" /><Relationship Type="http://schemas.openxmlformats.org/officeDocument/2006/relationships/hyperlink" Target="https://careertech.org/wp-content/uploads/2023/01/Credentials_of_Value_2016_0.pdf" TargetMode="External" Id="rId28" /><Relationship Type="http://schemas.openxmlformats.org/officeDocument/2006/relationships/hyperlink" Target="https://www.sbctc.edu/resources/documents/colleges-staff/programs-services/professional-technical/par-guidelines-july-2025.pdf" TargetMode="External" Id="rId36" /><Relationship Type="http://schemas.openxmlformats.org/officeDocument/2006/relationships/hyperlink" Target="https://nces.ed.gov/ipeds/pdf/NPEC/data/NPEC_Paper_Noncredit_Enrollment_and_Related_Activities.pdf" TargetMode="External" Id="rId49" /></Relationships>
</file>

<file path=word/_rels/header1.xml.rels>&#65279;<?xml version="1.0" encoding="utf-8"?><Relationships xmlns="http://schemas.openxmlformats.org/package/2006/relationships"><Relationship Type="http://schemas.openxmlformats.org/officeDocument/2006/relationships/hyperlink" Target="mailto:cmckinnon@sbctc.edu" TargetMode="External" Id="Rdab241836620450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Carolyn McKinnon</dc:creator>
  <keywords/>
  <dc:description/>
  <lastModifiedBy>Carolyn McKinnon</lastModifiedBy>
  <revision>91</revision>
  <dcterms:created xsi:type="dcterms:W3CDTF">2025-11-15T00:57:00.0000000Z</dcterms:created>
  <dcterms:modified xsi:type="dcterms:W3CDTF">2026-01-07T00:26:33.5322061Z</dcterms:modified>
</coreProperties>
</file>