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DA74" w14:textId="1671FAFD" w:rsidR="009823C6" w:rsidRDefault="6D0887A9" w:rsidP="7D298549">
      <w:pPr>
        <w:pStyle w:val="Heading3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Purpose</w:t>
      </w:r>
    </w:p>
    <w:p w14:paraId="563C5E2B" w14:textId="0143B761" w:rsidR="009823C6" w:rsidRPr="00F3028C" w:rsidRDefault="1D99A5CA" w:rsidP="7D298549">
      <w:pPr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 xml:space="preserve">The purpose </w:t>
      </w:r>
      <w:r w:rsidR="00D6A305" w:rsidRPr="54A5C392">
        <w:rPr>
          <w:rFonts w:ascii="Franklin Gothic Book" w:eastAsia="Franklin Gothic Book" w:hAnsi="Franklin Gothic Book" w:cs="Franklin Gothic Book"/>
        </w:rPr>
        <w:t xml:space="preserve">of </w:t>
      </w:r>
      <w:r w:rsidR="50BFC1D0" w:rsidRPr="54A5C392">
        <w:rPr>
          <w:rFonts w:ascii="Franklin Gothic Book" w:eastAsia="Franklin Gothic Book" w:hAnsi="Franklin Gothic Book" w:cs="Franklin Gothic Book"/>
        </w:rPr>
        <w:t>the system’s</w:t>
      </w:r>
      <w:r w:rsidR="31C77782" w:rsidRPr="54A5C392">
        <w:rPr>
          <w:rFonts w:ascii="Franklin Gothic Book" w:eastAsia="Franklin Gothic Book" w:hAnsi="Franklin Gothic Book" w:cs="Franklin Gothic Book"/>
        </w:rPr>
        <w:t xml:space="preserve">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="31C77782" w:rsidRPr="54A5C392">
        <w:rPr>
          <w:rFonts w:ascii="Franklin Gothic Book" w:eastAsia="Franklin Gothic Book" w:hAnsi="Franklin Gothic Book" w:cs="Franklin Gothic Book"/>
        </w:rPr>
        <w:t xml:space="preserve"> </w:t>
      </w:r>
      <w:r w:rsidR="36BE743F" w:rsidRPr="54A5C392">
        <w:rPr>
          <w:rFonts w:ascii="Franklin Gothic Book" w:eastAsia="Franklin Gothic Book" w:hAnsi="Franklin Gothic Book" w:cs="Franklin Gothic Book"/>
        </w:rPr>
        <w:t>Task Force</w:t>
      </w:r>
      <w:r w:rsidRPr="54A5C392">
        <w:rPr>
          <w:rFonts w:ascii="Franklin Gothic Book" w:eastAsia="Franklin Gothic Book" w:hAnsi="Franklin Gothic Book" w:cs="Franklin Gothic Book"/>
        </w:rPr>
        <w:t xml:space="preserve"> is to identify systemwide approaches to aligning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Pr="54A5C392">
        <w:rPr>
          <w:rFonts w:ascii="Franklin Gothic Book" w:eastAsia="Franklin Gothic Book" w:hAnsi="Franklin Gothic Book" w:cs="Franklin Gothic Book"/>
        </w:rPr>
        <w:t xml:space="preserve"> learning and credentials with system goals, strategies, </w:t>
      </w:r>
      <w:r w:rsidR="70329592" w:rsidRPr="54A5C392">
        <w:rPr>
          <w:rFonts w:ascii="Franklin Gothic Book" w:eastAsia="Franklin Gothic Book" w:hAnsi="Franklin Gothic Book" w:cs="Franklin Gothic Book"/>
        </w:rPr>
        <w:t xml:space="preserve">structures, </w:t>
      </w:r>
      <w:r w:rsidRPr="54A5C392">
        <w:rPr>
          <w:rFonts w:ascii="Franklin Gothic Book" w:eastAsia="Franklin Gothic Book" w:hAnsi="Franklin Gothic Book" w:cs="Franklin Gothic Book"/>
        </w:rPr>
        <w:t>and outcomes</w:t>
      </w:r>
      <w:r w:rsidR="5B285F71" w:rsidRPr="54A5C392">
        <w:rPr>
          <w:rFonts w:ascii="Franklin Gothic Book" w:eastAsia="Franklin Gothic Book" w:hAnsi="Franklin Gothic Book" w:cs="Franklin Gothic Book"/>
        </w:rPr>
        <w:t xml:space="preserve"> for a variety of learners and circumstances, including but not limited to upskilling, non-degree attainment, and linkages to credential pathways</w:t>
      </w:r>
      <w:r w:rsidRPr="54A5C392">
        <w:rPr>
          <w:rFonts w:ascii="Franklin Gothic Book" w:eastAsia="Franklin Gothic Book" w:hAnsi="Franklin Gothic Book" w:cs="Franklin Gothic Book"/>
        </w:rPr>
        <w:t xml:space="preserve">. </w:t>
      </w:r>
      <w:r w:rsidR="6E9C90EE" w:rsidRPr="54A5C392">
        <w:rPr>
          <w:rFonts w:ascii="Franklin Gothic Book" w:eastAsia="Franklin Gothic Book" w:hAnsi="Franklin Gothic Book" w:cs="Franklin Gothic Book"/>
        </w:rPr>
        <w:t xml:space="preserve">The </w:t>
      </w:r>
      <w:r w:rsidR="36BE743F" w:rsidRPr="54A5C392">
        <w:rPr>
          <w:rFonts w:ascii="Franklin Gothic Book" w:eastAsia="Franklin Gothic Book" w:hAnsi="Franklin Gothic Book" w:cs="Franklin Gothic Book"/>
        </w:rPr>
        <w:t>Task force</w:t>
      </w:r>
      <w:r w:rsidR="6E9C90EE" w:rsidRPr="54A5C392">
        <w:rPr>
          <w:rFonts w:ascii="Franklin Gothic Book" w:eastAsia="Franklin Gothic Book" w:hAnsi="Franklin Gothic Book" w:cs="Franklin Gothic Book"/>
        </w:rPr>
        <w:t xml:space="preserve"> will </w:t>
      </w:r>
      <w:r w:rsidR="5B285F71" w:rsidRPr="54A5C392">
        <w:rPr>
          <w:rFonts w:ascii="Franklin Gothic Book" w:eastAsia="Franklin Gothic Book" w:hAnsi="Franklin Gothic Book" w:cs="Franklin Gothic Book"/>
        </w:rPr>
        <w:t>keep its</w:t>
      </w:r>
      <w:r w:rsidR="6E9C90EE" w:rsidRPr="54A5C392">
        <w:rPr>
          <w:rFonts w:ascii="Franklin Gothic Book" w:eastAsia="Franklin Gothic Book" w:hAnsi="Franklin Gothic Book" w:cs="Franklin Gothic Book"/>
        </w:rPr>
        <w:t xml:space="preserve"> scope </w:t>
      </w:r>
      <w:r w:rsidR="5B285F71" w:rsidRPr="54A5C392">
        <w:rPr>
          <w:rFonts w:ascii="Franklin Gothic Book" w:eastAsia="Franklin Gothic Book" w:hAnsi="Franklin Gothic Book" w:cs="Franklin Gothic Book"/>
        </w:rPr>
        <w:t xml:space="preserve">aligned </w:t>
      </w:r>
      <w:r w:rsidR="6E9C90EE" w:rsidRPr="54A5C392">
        <w:rPr>
          <w:rFonts w:ascii="Franklin Gothic Book" w:eastAsia="Franklin Gothic Book" w:hAnsi="Franklin Gothic Book" w:cs="Franklin Gothic Book"/>
        </w:rPr>
        <w:t xml:space="preserve">to </w:t>
      </w:r>
      <w:r w:rsidR="3E62E3D8" w:rsidRPr="54A5C392">
        <w:rPr>
          <w:rFonts w:ascii="Franklin Gothic Book" w:eastAsia="Franklin Gothic Book" w:hAnsi="Franklin Gothic Book" w:cs="Franklin Gothic Book"/>
        </w:rPr>
        <w:t xml:space="preserve">both </w:t>
      </w:r>
      <w:r w:rsidR="5B285F71" w:rsidRPr="54A5C392">
        <w:rPr>
          <w:rFonts w:ascii="Franklin Gothic Book" w:eastAsia="Franklin Gothic Book" w:hAnsi="Franklin Gothic Book" w:cs="Franklin Gothic Book"/>
        </w:rPr>
        <w:t>this</w:t>
      </w:r>
      <w:r w:rsidR="6E9C90EE" w:rsidRPr="54A5C392">
        <w:rPr>
          <w:rFonts w:ascii="Franklin Gothic Book" w:eastAsia="Franklin Gothic Book" w:hAnsi="Franklin Gothic Book" w:cs="Franklin Gothic Book"/>
        </w:rPr>
        <w:t xml:space="preserve"> purpose and to </w:t>
      </w:r>
      <w:r w:rsidR="5B285F71" w:rsidRPr="54A5C392">
        <w:rPr>
          <w:rFonts w:ascii="Franklin Gothic Book" w:eastAsia="Franklin Gothic Book" w:hAnsi="Franklin Gothic Book" w:cs="Franklin Gothic Book"/>
        </w:rPr>
        <w:t xml:space="preserve">the greater </w:t>
      </w:r>
      <w:r w:rsidR="6E9C90EE" w:rsidRPr="54A5C392">
        <w:rPr>
          <w:rFonts w:ascii="Franklin Gothic Book" w:eastAsia="Franklin Gothic Book" w:hAnsi="Franklin Gothic Book" w:cs="Franklin Gothic Book"/>
        </w:rPr>
        <w:t xml:space="preserve">system mission, vision, </w:t>
      </w:r>
      <w:r w:rsidR="065F001D" w:rsidRPr="54A5C392">
        <w:rPr>
          <w:rFonts w:ascii="Franklin Gothic Book" w:eastAsia="Franklin Gothic Book" w:hAnsi="Franklin Gothic Book" w:cs="Franklin Gothic Book"/>
        </w:rPr>
        <w:t xml:space="preserve">and </w:t>
      </w:r>
      <w:r w:rsidR="6E9C90EE" w:rsidRPr="54A5C392">
        <w:rPr>
          <w:rFonts w:ascii="Franklin Gothic Book" w:eastAsia="Franklin Gothic Book" w:hAnsi="Franklin Gothic Book" w:cs="Franklin Gothic Book"/>
        </w:rPr>
        <w:t>values through published guiding questions and principles.</w:t>
      </w:r>
    </w:p>
    <w:p w14:paraId="54E9FBF1" w14:textId="7A48BC0F" w:rsidR="00F3028C" w:rsidRDefault="1D99A5CA" w:rsidP="7D298549">
      <w:pPr>
        <w:pStyle w:val="Heading3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Sponsorship</w:t>
      </w:r>
      <w:r w:rsidR="36255AC4" w:rsidRPr="7D298549">
        <w:rPr>
          <w:rFonts w:ascii="Franklin Gothic Book" w:eastAsia="Franklin Gothic Book" w:hAnsi="Franklin Gothic Book" w:cs="Franklin Gothic Book"/>
        </w:rPr>
        <w:t xml:space="preserve"> &amp; Membership</w:t>
      </w:r>
    </w:p>
    <w:tbl>
      <w:tblPr>
        <w:tblStyle w:val="TableGrid"/>
        <w:tblW w:w="97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110"/>
      </w:tblGrid>
      <w:tr w:rsidR="00012428" w:rsidRPr="006A2F80" w14:paraId="6F4F4BC2" w14:textId="77777777" w:rsidTr="7D298549">
        <w:tc>
          <w:tcPr>
            <w:tcW w:w="2610" w:type="dxa"/>
          </w:tcPr>
          <w:p w14:paraId="4744A6CD" w14:textId="1185E69C" w:rsidR="00012428" w:rsidRPr="007A5540" w:rsidRDefault="793042F9" w:rsidP="7D298549">
            <w:pPr>
              <w:pStyle w:val="Heading4"/>
              <w:spacing w:before="0"/>
              <w:rPr>
                <w:rFonts w:ascii="Franklin Gothic Book" w:eastAsia="Franklin Gothic Book" w:hAnsi="Franklin Gothic Book" w:cs="Franklin Gothic Book"/>
              </w:rPr>
            </w:pPr>
            <w:r w:rsidRPr="7D298549">
              <w:rPr>
                <w:rFonts w:ascii="Franklin Gothic Book" w:eastAsia="Franklin Gothic Book" w:hAnsi="Franklin Gothic Book" w:cs="Franklin Gothic Book"/>
              </w:rPr>
              <w:t>Co-Sponsors</w:t>
            </w:r>
          </w:p>
        </w:tc>
        <w:tc>
          <w:tcPr>
            <w:tcW w:w="7110" w:type="dxa"/>
          </w:tcPr>
          <w:p w14:paraId="2FB62415" w14:textId="5E32B48C" w:rsidR="001A1B96" w:rsidRPr="0071531D" w:rsidRDefault="47337342" w:rsidP="7D298549">
            <w:pPr>
              <w:spacing w:after="0" w:line="240" w:lineRule="auto"/>
              <w:rPr>
                <w:rFonts w:ascii="Franklin Gothic Book" w:eastAsia="Franklin Gothic Book" w:hAnsi="Franklin Gothic Book" w:cs="Franklin Gothic Book"/>
              </w:rPr>
            </w:pPr>
            <w:r w:rsidRPr="7D298549">
              <w:rPr>
                <w:rFonts w:ascii="Franklin Gothic Book" w:eastAsia="Franklin Gothic Book" w:hAnsi="Franklin Gothic Book" w:cs="Franklin Gothic Book"/>
              </w:rPr>
              <w:t>Jenni Martin, Spokane</w:t>
            </w:r>
            <w:r w:rsidR="00166A1A">
              <w:rPr>
                <w:rFonts w:ascii="Franklin Gothic Book" w:eastAsia="Franklin Gothic Book" w:hAnsi="Franklin Gothic Book" w:cs="Franklin Gothic Book"/>
              </w:rPr>
              <w:t xml:space="preserve"> Community College</w:t>
            </w:r>
            <w:r w:rsidR="70329592" w:rsidRPr="7D298549">
              <w:rPr>
                <w:rFonts w:ascii="Franklin Gothic Book" w:eastAsia="Franklin Gothic Book" w:hAnsi="Franklin Gothic Book" w:cs="Franklin Gothic Book"/>
              </w:rPr>
              <w:t>,</w:t>
            </w:r>
            <w:r w:rsidR="2CE34AB9" w:rsidRPr="7D298549">
              <w:rPr>
                <w:rFonts w:ascii="Franklin Gothic Book" w:eastAsia="Franklin Gothic Book" w:hAnsi="Franklin Gothic Book" w:cs="Franklin Gothic Book"/>
              </w:rPr>
              <w:t xml:space="preserve"> WACTC Education Services Committee </w:t>
            </w:r>
          </w:p>
          <w:p w14:paraId="215A2112" w14:textId="6BBAEAC8" w:rsidR="006A2F80" w:rsidRPr="0071531D" w:rsidRDefault="47337342" w:rsidP="7D298549">
            <w:pPr>
              <w:spacing w:after="0" w:line="240" w:lineRule="auto"/>
              <w:rPr>
                <w:rFonts w:ascii="Franklin Gothic Book" w:eastAsia="Franklin Gothic Book" w:hAnsi="Franklin Gothic Book" w:cs="Franklin Gothic Book"/>
              </w:rPr>
            </w:pPr>
            <w:r w:rsidRPr="7D298549">
              <w:rPr>
                <w:rFonts w:ascii="Franklin Gothic Book" w:eastAsia="Franklin Gothic Book" w:hAnsi="Franklin Gothic Book" w:cs="Franklin Gothic Book"/>
              </w:rPr>
              <w:t>Jim Lemerond</w:t>
            </w:r>
            <w:r w:rsidR="70329592" w:rsidRPr="7D298549">
              <w:rPr>
                <w:rFonts w:ascii="Franklin Gothic Book" w:eastAsia="Franklin Gothic Book" w:hAnsi="Franklin Gothic Book" w:cs="Franklin Gothic Book"/>
              </w:rPr>
              <w:t xml:space="preserve">, </w:t>
            </w:r>
            <w:r w:rsidR="00166A1A">
              <w:rPr>
                <w:rFonts w:ascii="Franklin Gothic Book" w:eastAsia="Franklin Gothic Book" w:hAnsi="Franklin Gothic Book" w:cs="Franklin Gothic Book"/>
              </w:rPr>
              <w:t xml:space="preserve">Bellingham Technical College </w:t>
            </w:r>
            <w:r w:rsidR="70329592" w:rsidRPr="7D298549">
              <w:rPr>
                <w:rFonts w:ascii="Franklin Gothic Book" w:eastAsia="Franklin Gothic Book" w:hAnsi="Franklin Gothic Book" w:cs="Franklin Gothic Book"/>
              </w:rPr>
              <w:t>WACTC At-Large</w:t>
            </w:r>
            <w:r w:rsidR="793042F9" w:rsidRPr="7D298549">
              <w:rPr>
                <w:rFonts w:ascii="Franklin Gothic Book" w:eastAsia="Franklin Gothic Book" w:hAnsi="Franklin Gothic Book" w:cs="Franklin Gothic Book"/>
              </w:rPr>
              <w:t xml:space="preserve"> </w:t>
            </w:r>
          </w:p>
          <w:p w14:paraId="3DD881A0" w14:textId="6270EDA8" w:rsidR="006A2F80" w:rsidRPr="0071531D" w:rsidRDefault="793042F9" w:rsidP="7D298549">
            <w:pPr>
              <w:spacing w:after="0" w:line="240" w:lineRule="auto"/>
              <w:rPr>
                <w:rFonts w:ascii="Franklin Gothic Book" w:eastAsia="Franklin Gothic Book" w:hAnsi="Franklin Gothic Book" w:cs="Franklin Gothic Book"/>
              </w:rPr>
            </w:pPr>
            <w:r w:rsidRPr="7D298549">
              <w:rPr>
                <w:rFonts w:ascii="Franklin Gothic Book" w:eastAsia="Franklin Gothic Book" w:hAnsi="Franklin Gothic Book" w:cs="Franklin Gothic Book"/>
              </w:rPr>
              <w:t xml:space="preserve">Joyce Hammer, Deputy Executive Director of Education, SBCTC </w:t>
            </w:r>
          </w:p>
          <w:p w14:paraId="2FBFE209" w14:textId="35F19C82" w:rsidR="00962EA9" w:rsidRPr="0071531D" w:rsidRDefault="00962EA9" w:rsidP="7D298549">
            <w:pPr>
              <w:spacing w:after="0" w:line="240" w:lineRule="auto"/>
              <w:rPr>
                <w:rFonts w:ascii="Franklin Gothic Book" w:eastAsia="Franklin Gothic Book" w:hAnsi="Franklin Gothic Book" w:cs="Franklin Gothic Book"/>
              </w:rPr>
            </w:pPr>
          </w:p>
        </w:tc>
      </w:tr>
      <w:tr w:rsidR="00962EA9" w:rsidRPr="006A2F80" w14:paraId="314ECD33" w14:textId="77777777" w:rsidTr="7D298549">
        <w:tc>
          <w:tcPr>
            <w:tcW w:w="2610" w:type="dxa"/>
          </w:tcPr>
          <w:p w14:paraId="424961EA" w14:textId="64247166" w:rsidR="00962EA9" w:rsidRPr="0071531D" w:rsidRDefault="70329592" w:rsidP="7D298549">
            <w:pPr>
              <w:spacing w:after="0" w:line="240" w:lineRule="auto"/>
              <w:rPr>
                <w:rStyle w:val="Heading4Char"/>
                <w:rFonts w:ascii="Franklin Gothic Book" w:eastAsia="Franklin Gothic Book" w:hAnsi="Franklin Gothic Book" w:cs="Franklin Gothic Book"/>
              </w:rPr>
            </w:pPr>
            <w:r w:rsidRPr="7D298549">
              <w:rPr>
                <w:rStyle w:val="Heading4Char"/>
                <w:rFonts w:ascii="Franklin Gothic Book" w:eastAsia="Franklin Gothic Book" w:hAnsi="Franklin Gothic Book" w:cs="Franklin Gothic Book"/>
              </w:rPr>
              <w:t xml:space="preserve">Project </w:t>
            </w:r>
            <w:r w:rsidR="40A67F86" w:rsidRPr="7D298549">
              <w:rPr>
                <w:rStyle w:val="Heading4Char"/>
                <w:rFonts w:ascii="Franklin Gothic Book" w:eastAsia="Franklin Gothic Book" w:hAnsi="Franklin Gothic Book" w:cs="Franklin Gothic Book"/>
              </w:rPr>
              <w:t>Co-</w:t>
            </w:r>
            <w:r w:rsidRPr="7D298549">
              <w:rPr>
                <w:rStyle w:val="Heading4Char"/>
                <w:rFonts w:ascii="Franklin Gothic Book" w:eastAsia="Franklin Gothic Book" w:hAnsi="Franklin Gothic Book" w:cs="Franklin Gothic Book"/>
              </w:rPr>
              <w:t>Manager</w:t>
            </w:r>
            <w:r w:rsidR="75823570" w:rsidRPr="7D298549">
              <w:rPr>
                <w:rStyle w:val="Heading4Char"/>
                <w:rFonts w:ascii="Franklin Gothic Book" w:eastAsia="Franklin Gothic Book" w:hAnsi="Franklin Gothic Book" w:cs="Franklin Gothic Book"/>
              </w:rPr>
              <w:t>s</w:t>
            </w:r>
          </w:p>
        </w:tc>
        <w:tc>
          <w:tcPr>
            <w:tcW w:w="7110" w:type="dxa"/>
          </w:tcPr>
          <w:p w14:paraId="5C399280" w14:textId="36054602" w:rsidR="00962EA9" w:rsidRPr="0071531D" w:rsidRDefault="75823570" w:rsidP="7D298549">
            <w:pPr>
              <w:spacing w:after="0" w:line="240" w:lineRule="auto"/>
              <w:rPr>
                <w:rFonts w:ascii="Franklin Gothic Book" w:eastAsia="Franklin Gothic Book" w:hAnsi="Franklin Gothic Book" w:cs="Franklin Gothic Book"/>
              </w:rPr>
            </w:pPr>
            <w:r w:rsidRPr="7D298549">
              <w:rPr>
                <w:rFonts w:ascii="Franklin Gothic Book" w:eastAsia="Franklin Gothic Book" w:hAnsi="Franklin Gothic Book" w:cs="Franklin Gothic Book"/>
              </w:rPr>
              <w:t>Marie Bruin, Director, Workforce Education SBCTC</w:t>
            </w:r>
          </w:p>
          <w:p w14:paraId="4C135788" w14:textId="77777777" w:rsidR="00553E89" w:rsidRPr="0071531D" w:rsidRDefault="75823570" w:rsidP="7D298549">
            <w:pPr>
              <w:spacing w:after="0" w:line="240" w:lineRule="auto"/>
              <w:rPr>
                <w:rFonts w:ascii="Franklin Gothic Book" w:eastAsia="Franklin Gothic Book" w:hAnsi="Franklin Gothic Book" w:cs="Franklin Gothic Book"/>
              </w:rPr>
            </w:pPr>
            <w:r w:rsidRPr="7D298549">
              <w:rPr>
                <w:rFonts w:ascii="Franklin Gothic Book" w:eastAsia="Franklin Gothic Book" w:hAnsi="Franklin Gothic Book" w:cs="Franklin Gothic Book"/>
              </w:rPr>
              <w:t>Michael Brown, Director, Educational Resources and Innovation, SBCTC</w:t>
            </w:r>
          </w:p>
          <w:p w14:paraId="143E339D" w14:textId="64454E13" w:rsidR="006A2F80" w:rsidRPr="0071531D" w:rsidRDefault="006A2F80" w:rsidP="7D298549">
            <w:pPr>
              <w:spacing w:after="0" w:line="240" w:lineRule="auto"/>
              <w:rPr>
                <w:rFonts w:ascii="Franklin Gothic Book" w:eastAsia="Franklin Gothic Book" w:hAnsi="Franklin Gothic Book" w:cs="Franklin Gothic Book"/>
              </w:rPr>
            </w:pPr>
          </w:p>
        </w:tc>
      </w:tr>
      <w:tr w:rsidR="00962EA9" w:rsidRPr="006A2F80" w14:paraId="795F3ACA" w14:textId="77777777" w:rsidTr="7D298549">
        <w:tc>
          <w:tcPr>
            <w:tcW w:w="2610" w:type="dxa"/>
          </w:tcPr>
          <w:p w14:paraId="40D2F9BB" w14:textId="77777777" w:rsidR="000056EE" w:rsidRDefault="70329592" w:rsidP="7D298549">
            <w:pPr>
              <w:spacing w:after="0" w:line="240" w:lineRule="auto"/>
              <w:rPr>
                <w:rStyle w:val="Heading4Char"/>
                <w:rFonts w:ascii="Franklin Gothic Book" w:eastAsia="Franklin Gothic Book" w:hAnsi="Franklin Gothic Book" w:cs="Franklin Gothic Book"/>
              </w:rPr>
            </w:pPr>
            <w:r w:rsidRPr="7D298549">
              <w:rPr>
                <w:rStyle w:val="Heading4Char"/>
                <w:rFonts w:ascii="Franklin Gothic Book" w:eastAsia="Franklin Gothic Book" w:hAnsi="Franklin Gothic Book" w:cs="Franklin Gothic Book"/>
              </w:rPr>
              <w:t>Project Lea</w:t>
            </w:r>
            <w:r w:rsidR="31C77782" w:rsidRPr="7D298549">
              <w:rPr>
                <w:rStyle w:val="Heading4Char"/>
                <w:rFonts w:ascii="Franklin Gothic Book" w:eastAsia="Franklin Gothic Book" w:hAnsi="Franklin Gothic Book" w:cs="Franklin Gothic Book"/>
              </w:rPr>
              <w:t>d</w:t>
            </w:r>
          </w:p>
          <w:p w14:paraId="75A6E37B" w14:textId="77777777" w:rsidR="006528A3" w:rsidRDefault="006528A3" w:rsidP="7D298549">
            <w:pPr>
              <w:spacing w:after="0" w:line="240" w:lineRule="auto"/>
              <w:rPr>
                <w:rStyle w:val="Heading4Char"/>
                <w:rFonts w:ascii="Franklin Gothic Book" w:eastAsia="Franklin Gothic Book" w:hAnsi="Franklin Gothic Book" w:cs="Franklin Gothic Book"/>
              </w:rPr>
            </w:pPr>
          </w:p>
          <w:p w14:paraId="3722FC16" w14:textId="1E71EAFC" w:rsidR="006528A3" w:rsidRPr="0071531D" w:rsidRDefault="64E73592" w:rsidP="7D298549">
            <w:pPr>
              <w:spacing w:after="0" w:line="240" w:lineRule="auto"/>
              <w:rPr>
                <w:rStyle w:val="Heading4Char"/>
                <w:rFonts w:ascii="Franklin Gothic Book" w:eastAsia="Franklin Gothic Book" w:hAnsi="Franklin Gothic Book" w:cs="Franklin Gothic Book"/>
              </w:rPr>
            </w:pPr>
            <w:r w:rsidRPr="7D298549">
              <w:rPr>
                <w:rStyle w:val="Heading4Char"/>
                <w:rFonts w:ascii="Franklin Gothic Book" w:eastAsia="Franklin Gothic Book" w:hAnsi="Franklin Gothic Book" w:cs="Franklin Gothic Book"/>
              </w:rPr>
              <w:t>Project Support</w:t>
            </w:r>
          </w:p>
        </w:tc>
        <w:tc>
          <w:tcPr>
            <w:tcW w:w="7110" w:type="dxa"/>
          </w:tcPr>
          <w:p w14:paraId="2B1036E5" w14:textId="77777777" w:rsidR="006A2F80" w:rsidRDefault="730F76CB" w:rsidP="7D298549">
            <w:pPr>
              <w:spacing w:after="0" w:line="240" w:lineRule="auto"/>
              <w:rPr>
                <w:rFonts w:ascii="Franklin Gothic Book" w:eastAsia="Franklin Gothic Book" w:hAnsi="Franklin Gothic Book" w:cs="Franklin Gothic Book"/>
              </w:rPr>
            </w:pPr>
            <w:r w:rsidRPr="7D298549">
              <w:rPr>
                <w:rFonts w:ascii="Franklin Gothic Book" w:eastAsia="Franklin Gothic Book" w:hAnsi="Franklin Gothic Book" w:cs="Franklin Gothic Book"/>
              </w:rPr>
              <w:t>Carolyn McKinnon</w:t>
            </w:r>
            <w:r w:rsidR="75823570" w:rsidRPr="7D298549">
              <w:rPr>
                <w:rFonts w:ascii="Franklin Gothic Book" w:eastAsia="Franklin Gothic Book" w:hAnsi="Franklin Gothic Book" w:cs="Franklin Gothic Book"/>
              </w:rPr>
              <w:t>, Policy Associate, Workforce Education, SBCTC</w:t>
            </w:r>
          </w:p>
          <w:p w14:paraId="082EC301" w14:textId="77777777" w:rsidR="006528A3" w:rsidRDefault="006528A3" w:rsidP="7D298549">
            <w:pPr>
              <w:spacing w:after="0" w:line="240" w:lineRule="auto"/>
              <w:rPr>
                <w:rFonts w:ascii="Franklin Gothic Book" w:eastAsia="Franklin Gothic Book" w:hAnsi="Franklin Gothic Book" w:cs="Franklin Gothic Book"/>
              </w:rPr>
            </w:pPr>
          </w:p>
          <w:p w14:paraId="542DBAAC" w14:textId="20F2F671" w:rsidR="006528A3" w:rsidRPr="0071531D" w:rsidRDefault="64E73592" w:rsidP="7D298549">
            <w:pPr>
              <w:spacing w:after="0" w:line="240" w:lineRule="auto"/>
              <w:rPr>
                <w:rFonts w:ascii="Franklin Gothic Book" w:eastAsia="Franklin Gothic Book" w:hAnsi="Franklin Gothic Book" w:cs="Franklin Gothic Book"/>
              </w:rPr>
            </w:pPr>
            <w:r w:rsidRPr="7D298549">
              <w:rPr>
                <w:rFonts w:ascii="Franklin Gothic Book" w:eastAsia="Franklin Gothic Book" w:hAnsi="Franklin Gothic Book" w:cs="Franklin Gothic Book"/>
              </w:rPr>
              <w:t>Roma Bert, Assistant to the Deputy Executive Director, SBCTC</w:t>
            </w:r>
          </w:p>
        </w:tc>
      </w:tr>
    </w:tbl>
    <w:p w14:paraId="4DCFBFAD" w14:textId="3E86FCDE" w:rsidR="7D298549" w:rsidRDefault="7D298549" w:rsidP="7D298549">
      <w:pPr>
        <w:pStyle w:val="Heading4"/>
        <w:rPr>
          <w:rFonts w:ascii="Franklin Gothic Book" w:eastAsia="Franklin Gothic Book" w:hAnsi="Franklin Gothic Book" w:cs="Franklin Gothic Book"/>
        </w:rPr>
      </w:pPr>
    </w:p>
    <w:p w14:paraId="09255E42" w14:textId="1C94583A" w:rsidR="005B69B2" w:rsidRDefault="36BE743F" w:rsidP="7D298549">
      <w:pPr>
        <w:pStyle w:val="Heading4"/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>Task force</w:t>
      </w:r>
      <w:r w:rsidR="65A336E8" w:rsidRPr="54A5C392">
        <w:rPr>
          <w:rFonts w:ascii="Franklin Gothic Book" w:eastAsia="Franklin Gothic Book" w:hAnsi="Franklin Gothic Book" w:cs="Franklin Gothic Book"/>
        </w:rPr>
        <w:t xml:space="preserve"> Membership</w:t>
      </w:r>
    </w:p>
    <w:p w14:paraId="4B015160" w14:textId="7744BD9C" w:rsidR="004D7A4F" w:rsidRPr="004D7A4F" w:rsidRDefault="40A67F86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Instructional Vice Presidents (2)</w:t>
      </w:r>
      <w:r w:rsidR="48B494A0" w:rsidRPr="7D298549">
        <w:rPr>
          <w:rFonts w:ascii="Franklin Gothic Book" w:eastAsia="Franklin Gothic Book" w:hAnsi="Franklin Gothic Book" w:cs="Franklin Gothic Book"/>
        </w:rPr>
        <w:t>: Tom Broxson (CPTC) and Tod Treat (WVC)</w:t>
      </w:r>
    </w:p>
    <w:p w14:paraId="0C9BAB97" w14:textId="6491290C" w:rsidR="004D7A4F" w:rsidRPr="004D7A4F" w:rsidRDefault="40A67F86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Continuing Education (2)</w:t>
      </w:r>
      <w:r w:rsidR="48B494A0" w:rsidRPr="7D298549">
        <w:rPr>
          <w:rFonts w:ascii="Franklin Gothic Book" w:eastAsia="Franklin Gothic Book" w:hAnsi="Franklin Gothic Book" w:cs="Franklin Gothic Book"/>
        </w:rPr>
        <w:t>: Mike Ni</w:t>
      </w:r>
      <w:r w:rsidR="75FBC6E2" w:rsidRPr="7D298549">
        <w:rPr>
          <w:rFonts w:ascii="Franklin Gothic Book" w:eastAsia="Franklin Gothic Book" w:hAnsi="Franklin Gothic Book" w:cs="Franklin Gothic Book"/>
        </w:rPr>
        <w:t>e</w:t>
      </w:r>
      <w:r w:rsidR="48B494A0" w:rsidRPr="7D298549">
        <w:rPr>
          <w:rFonts w:ascii="Franklin Gothic Book" w:eastAsia="Franklin Gothic Book" w:hAnsi="Franklin Gothic Book" w:cs="Franklin Gothic Book"/>
        </w:rPr>
        <w:t>ls</w:t>
      </w:r>
      <w:r w:rsidR="31033E1F" w:rsidRPr="7D298549">
        <w:rPr>
          <w:rFonts w:ascii="Franklin Gothic Book" w:eastAsia="Franklin Gothic Book" w:hAnsi="Franklin Gothic Book" w:cs="Franklin Gothic Book"/>
        </w:rPr>
        <w:t>e</w:t>
      </w:r>
      <w:r w:rsidR="48B494A0" w:rsidRPr="7D298549">
        <w:rPr>
          <w:rFonts w:ascii="Franklin Gothic Book" w:eastAsia="Franklin Gothic Book" w:hAnsi="Franklin Gothic Book" w:cs="Franklin Gothic Book"/>
        </w:rPr>
        <w:t>n (Seattle Colleges) and Beth Laszlo (BBCC)</w:t>
      </w:r>
    </w:p>
    <w:p w14:paraId="4B127FEB" w14:textId="2D726F61" w:rsidR="004D7A4F" w:rsidRPr="004D7A4F" w:rsidRDefault="40A67F86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Workforce Education (2)</w:t>
      </w:r>
      <w:r w:rsidR="48B494A0" w:rsidRPr="7D298549">
        <w:rPr>
          <w:rFonts w:ascii="Franklin Gothic Book" w:eastAsia="Franklin Gothic Book" w:hAnsi="Franklin Gothic Book" w:cs="Franklin Gothic Book"/>
        </w:rPr>
        <w:t>: Skye Field (YVC) and Wendy Fox (Olympic)</w:t>
      </w:r>
    </w:p>
    <w:p w14:paraId="1FC23FD4" w14:textId="1DB6E6E9" w:rsidR="004D7A4F" w:rsidRPr="004D7A4F" w:rsidRDefault="40A67F86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Centers of Excellence (1)</w:t>
      </w:r>
      <w:r w:rsidR="48B494A0" w:rsidRPr="7D298549">
        <w:rPr>
          <w:rFonts w:ascii="Franklin Gothic Book" w:eastAsia="Franklin Gothic Book" w:hAnsi="Franklin Gothic Book" w:cs="Franklin Gothic Book"/>
        </w:rPr>
        <w:t>: Brent Lundstrom (Cybersecurity)</w:t>
      </w:r>
    </w:p>
    <w:p w14:paraId="7A17593E" w14:textId="2DBD0FFB" w:rsidR="004D7A4F" w:rsidRDefault="48B494A0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Financial Aid (1):</w:t>
      </w:r>
      <w:r w:rsidR="62E86784" w:rsidRPr="7D298549">
        <w:rPr>
          <w:rFonts w:ascii="Franklin Gothic Book" w:eastAsia="Franklin Gothic Book" w:hAnsi="Franklin Gothic Book" w:cs="Franklin Gothic Book"/>
        </w:rPr>
        <w:t xml:space="preserve"> </w:t>
      </w:r>
      <w:r w:rsidR="00166A1A">
        <w:rPr>
          <w:rFonts w:ascii="Franklin Gothic Book" w:eastAsia="Franklin Gothic Book" w:hAnsi="Franklin Gothic Book" w:cs="Franklin Gothic Book"/>
        </w:rPr>
        <w:t>April Tovar</w:t>
      </w:r>
      <w:r w:rsidRPr="00166A1A">
        <w:rPr>
          <w:rFonts w:ascii="Franklin Gothic Book" w:eastAsia="Franklin Gothic Book" w:hAnsi="Franklin Gothic Book" w:cs="Franklin Gothic Book"/>
        </w:rPr>
        <w:t xml:space="preserve"> (L</w:t>
      </w:r>
      <w:r w:rsidR="00166A1A">
        <w:rPr>
          <w:rFonts w:ascii="Franklin Gothic Book" w:eastAsia="Franklin Gothic Book" w:hAnsi="Franklin Gothic Book" w:cs="Franklin Gothic Book"/>
        </w:rPr>
        <w:t>ower Columbia</w:t>
      </w:r>
      <w:r w:rsidRPr="00166A1A">
        <w:rPr>
          <w:rFonts w:ascii="Franklin Gothic Book" w:eastAsia="Franklin Gothic Book" w:hAnsi="Franklin Gothic Book" w:cs="Franklin Gothic Book"/>
        </w:rPr>
        <w:t>)</w:t>
      </w:r>
    </w:p>
    <w:p w14:paraId="02FC4A88" w14:textId="31E7C823" w:rsidR="00EF7F8F" w:rsidRPr="004D7A4F" w:rsidRDefault="48B494A0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Admissions and Registration (1): Anneke Hercules (Bellevue)</w:t>
      </w:r>
    </w:p>
    <w:p w14:paraId="6CC78653" w14:textId="3E7BEA6D" w:rsidR="004D7A4F" w:rsidRPr="004D7A4F" w:rsidRDefault="40A67F86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62FBD675">
        <w:rPr>
          <w:rFonts w:ascii="Franklin Gothic Book" w:eastAsia="Franklin Gothic Book" w:hAnsi="Franklin Gothic Book" w:cs="Franklin Gothic Book"/>
        </w:rPr>
        <w:t>Diversity and Equity (2)</w:t>
      </w:r>
      <w:r w:rsidR="48B494A0" w:rsidRPr="62FBD675">
        <w:rPr>
          <w:rFonts w:ascii="Franklin Gothic Book" w:eastAsia="Franklin Gothic Book" w:hAnsi="Franklin Gothic Book" w:cs="Franklin Gothic Book"/>
        </w:rPr>
        <w:t xml:space="preserve">: Iesha Valencia (CPTC) and </w:t>
      </w:r>
      <w:r w:rsidR="26CA4BC0" w:rsidRPr="62FBD675">
        <w:rPr>
          <w:rFonts w:ascii="Franklin Gothic Book" w:eastAsia="Franklin Gothic Book" w:hAnsi="Franklin Gothic Book" w:cs="Franklin Gothic Book"/>
        </w:rPr>
        <w:t>Kit Alston</w:t>
      </w:r>
      <w:r w:rsidR="48B494A0" w:rsidRPr="62FBD675">
        <w:rPr>
          <w:rFonts w:ascii="Franklin Gothic Book" w:eastAsia="Franklin Gothic Book" w:hAnsi="Franklin Gothic Book" w:cs="Franklin Gothic Book"/>
        </w:rPr>
        <w:t xml:space="preserve"> (</w:t>
      </w:r>
      <w:r w:rsidR="605956DF" w:rsidRPr="62FBD675">
        <w:rPr>
          <w:rFonts w:ascii="Franklin Gothic Book" w:eastAsia="Franklin Gothic Book" w:hAnsi="Franklin Gothic Book" w:cs="Franklin Gothic Book"/>
        </w:rPr>
        <w:t>Green River</w:t>
      </w:r>
      <w:r w:rsidR="48B494A0" w:rsidRPr="62FBD675">
        <w:rPr>
          <w:rFonts w:ascii="Franklin Gothic Book" w:eastAsia="Franklin Gothic Book" w:hAnsi="Franklin Gothic Book" w:cs="Franklin Gothic Book"/>
        </w:rPr>
        <w:t>)</w:t>
      </w:r>
      <w:r w:rsidRPr="62FBD675">
        <w:rPr>
          <w:rFonts w:ascii="Franklin Gothic Book" w:eastAsia="Franklin Gothic Book" w:hAnsi="Franklin Gothic Book" w:cs="Franklin Gothic Book"/>
        </w:rPr>
        <w:t xml:space="preserve"> </w:t>
      </w:r>
    </w:p>
    <w:p w14:paraId="3D790016" w14:textId="2ADA2F86" w:rsidR="004D7A4F" w:rsidRDefault="5D4631DD" w:rsidP="7D298549">
      <w:pPr>
        <w:spacing w:before="120" w:after="0" w:line="240" w:lineRule="auto"/>
        <w:rPr>
          <w:rFonts w:ascii="Franklin Gothic Book" w:eastAsia="Franklin Gothic Book" w:hAnsi="Franklin Gothic Book" w:cs="Franklin Gothic Book"/>
        </w:rPr>
      </w:pPr>
      <w:proofErr w:type="gramStart"/>
      <w:r w:rsidRPr="7D298549">
        <w:rPr>
          <w:rFonts w:ascii="Franklin Gothic Book" w:eastAsia="Franklin Gothic Book" w:hAnsi="Franklin Gothic Book" w:cs="Franklin Gothic Book"/>
        </w:rPr>
        <w:t>S</w:t>
      </w:r>
      <w:r w:rsidR="40A67F86" w:rsidRPr="7D298549">
        <w:rPr>
          <w:rFonts w:ascii="Franklin Gothic Book" w:eastAsia="Franklin Gothic Book" w:hAnsi="Franklin Gothic Book" w:cs="Franklin Gothic Book"/>
        </w:rPr>
        <w:t>ubject</w:t>
      </w:r>
      <w:r w:rsidR="065F001D" w:rsidRPr="7D298549">
        <w:rPr>
          <w:rFonts w:ascii="Franklin Gothic Book" w:eastAsia="Franklin Gothic Book" w:hAnsi="Franklin Gothic Book" w:cs="Franklin Gothic Book"/>
        </w:rPr>
        <w:t>-</w:t>
      </w:r>
      <w:r w:rsidR="40A67F86" w:rsidRPr="7D298549">
        <w:rPr>
          <w:rFonts w:ascii="Franklin Gothic Book" w:eastAsia="Franklin Gothic Book" w:hAnsi="Franklin Gothic Book" w:cs="Franklin Gothic Book"/>
        </w:rPr>
        <w:t>matter</w:t>
      </w:r>
      <w:proofErr w:type="gramEnd"/>
      <w:r w:rsidR="40A67F86" w:rsidRPr="7D298549">
        <w:rPr>
          <w:rFonts w:ascii="Franklin Gothic Book" w:eastAsia="Franklin Gothic Book" w:hAnsi="Franklin Gothic Book" w:cs="Franklin Gothic Book"/>
        </w:rPr>
        <w:t xml:space="preserve"> experts for membership or subcommittee work as needed</w:t>
      </w:r>
      <w:r w:rsidR="47337342" w:rsidRPr="7D298549">
        <w:rPr>
          <w:rFonts w:ascii="Franklin Gothic Book" w:eastAsia="Franklin Gothic Book" w:hAnsi="Franklin Gothic Book" w:cs="Franklin Gothic Book"/>
        </w:rPr>
        <w:t>:</w:t>
      </w:r>
    </w:p>
    <w:p w14:paraId="6CDC2048" w14:textId="7B067D79" w:rsidR="00D6036D" w:rsidRDefault="47337342" w:rsidP="7D298549">
      <w:pPr>
        <w:pStyle w:val="ListParagraph"/>
        <w:numPr>
          <w:ilvl w:val="0"/>
          <w:numId w:val="15"/>
        </w:numPr>
        <w:spacing w:before="120"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Alissa Sells (</w:t>
      </w:r>
      <w:r w:rsidR="48B494A0" w:rsidRPr="7D298549">
        <w:rPr>
          <w:rFonts w:ascii="Franklin Gothic Book" w:eastAsia="Franklin Gothic Book" w:hAnsi="Franklin Gothic Book" w:cs="Franklin Gothic Book"/>
        </w:rPr>
        <w:t xml:space="preserve">SBCTC </w:t>
      </w:r>
      <w:r w:rsidRPr="7D298549">
        <w:rPr>
          <w:rFonts w:ascii="Franklin Gothic Book" w:eastAsia="Franklin Gothic Book" w:hAnsi="Franklin Gothic Book" w:cs="Franklin Gothic Book"/>
        </w:rPr>
        <w:t>Educational Resources and Innovation), Travis Dulaney (</w:t>
      </w:r>
      <w:r w:rsidR="48B494A0" w:rsidRPr="7D298549">
        <w:rPr>
          <w:rFonts w:ascii="Franklin Gothic Book" w:eastAsia="Franklin Gothic Book" w:hAnsi="Franklin Gothic Book" w:cs="Franklin Gothic Book"/>
        </w:rPr>
        <w:t xml:space="preserve">SBCTC </w:t>
      </w:r>
      <w:r w:rsidRPr="7D298549">
        <w:rPr>
          <w:rFonts w:ascii="Franklin Gothic Book" w:eastAsia="Franklin Gothic Book" w:hAnsi="Franklin Gothic Book" w:cs="Franklin Gothic Book"/>
        </w:rPr>
        <w:t>Policy Research), Carmen McKenzie (</w:t>
      </w:r>
      <w:r w:rsidR="48B494A0" w:rsidRPr="7D298549">
        <w:rPr>
          <w:rFonts w:ascii="Franklin Gothic Book" w:eastAsia="Franklin Gothic Book" w:hAnsi="Franklin Gothic Book" w:cs="Franklin Gothic Book"/>
        </w:rPr>
        <w:t xml:space="preserve">SBCTC </w:t>
      </w:r>
      <w:r w:rsidRPr="7D298549">
        <w:rPr>
          <w:rFonts w:ascii="Franklin Gothic Book" w:eastAsia="Franklin Gothic Book" w:hAnsi="Franklin Gothic Book" w:cs="Franklin Gothic Book"/>
        </w:rPr>
        <w:t xml:space="preserve">Data Services). </w:t>
      </w:r>
    </w:p>
    <w:p w14:paraId="1E869ADC" w14:textId="34F1F31E" w:rsidR="00EF7F8F" w:rsidRPr="004D7A4F" w:rsidRDefault="48B494A0" w:rsidP="7D298549">
      <w:pPr>
        <w:pStyle w:val="ListParagraph"/>
        <w:numPr>
          <w:ilvl w:val="0"/>
          <w:numId w:val="15"/>
        </w:numPr>
        <w:spacing w:before="120"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Julie Parks (Spokane Colleges Workforce Development and Co-Sponsor’s advisor), Anya Milton (Bellingham Technical College Corporate &amp; Continuing Education and Co-Sponsor’s advisor).</w:t>
      </w:r>
    </w:p>
    <w:p w14:paraId="707A3D96" w14:textId="77777777" w:rsidR="006A2F80" w:rsidRPr="002B5880" w:rsidRDefault="793042F9" w:rsidP="7D298549">
      <w:pPr>
        <w:pStyle w:val="Heading3"/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>Problem Statement &amp; Call-to-Action</w:t>
      </w:r>
    </w:p>
    <w:p w14:paraId="1C9994B6" w14:textId="668431BA" w:rsidR="006A2F80" w:rsidRPr="002B5880" w:rsidRDefault="0A4EC39E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Noncredit</w:t>
      </w:r>
      <w:r w:rsidR="793042F9" w:rsidRPr="7D298549">
        <w:rPr>
          <w:rFonts w:ascii="Franklin Gothic Book" w:eastAsia="Franklin Gothic Book" w:hAnsi="Franklin Gothic Book" w:cs="Franklin Gothic Book"/>
        </w:rPr>
        <w:t xml:space="preserve"> </w:t>
      </w:r>
      <w:r w:rsidR="3E62E3D8" w:rsidRPr="7D298549">
        <w:rPr>
          <w:rFonts w:ascii="Franklin Gothic Book" w:eastAsia="Franklin Gothic Book" w:hAnsi="Franklin Gothic Book" w:cs="Franklin Gothic Book"/>
        </w:rPr>
        <w:t xml:space="preserve">courses and </w:t>
      </w:r>
      <w:r w:rsidR="793042F9" w:rsidRPr="7D298549">
        <w:rPr>
          <w:rFonts w:ascii="Franklin Gothic Book" w:eastAsia="Franklin Gothic Book" w:hAnsi="Franklin Gothic Book" w:cs="Franklin Gothic Book"/>
        </w:rPr>
        <w:t>programs are growing in popularity</w:t>
      </w:r>
      <w:r w:rsidR="3A102F05" w:rsidRPr="7D298549">
        <w:rPr>
          <w:rFonts w:ascii="Franklin Gothic Book" w:eastAsia="Franklin Gothic Book" w:hAnsi="Franklin Gothic Book" w:cs="Franklin Gothic Book"/>
        </w:rPr>
        <w:t xml:space="preserve"> nationwide</w:t>
      </w:r>
      <w:r w:rsidR="793042F9" w:rsidRPr="7D298549">
        <w:rPr>
          <w:rFonts w:ascii="Franklin Gothic Book" w:eastAsia="Franklin Gothic Book" w:hAnsi="Franklin Gothic Book" w:cs="Franklin Gothic Book"/>
        </w:rPr>
        <w:t>, especially in community colleges. They are a way for students and working people to quickly gain skills and credentials to advance their careers. They’re appealing to employers who need skilled workers immediately and place a premium on recognizable industry certifications.</w:t>
      </w:r>
      <w:r w:rsidR="006A2F80" w:rsidRPr="7D298549">
        <w:rPr>
          <w:rStyle w:val="FootnoteReference"/>
          <w:rFonts w:ascii="Franklin Gothic Book" w:eastAsia="Franklin Gothic Book" w:hAnsi="Franklin Gothic Book" w:cs="Franklin Gothic Book"/>
        </w:rPr>
        <w:footnoteReference w:id="1"/>
      </w:r>
      <w:r w:rsidR="793042F9" w:rsidRPr="7D298549">
        <w:rPr>
          <w:rFonts w:ascii="Franklin Gothic Book" w:eastAsia="Franklin Gothic Book" w:hAnsi="Franklin Gothic Book" w:cs="Franklin Gothic Book"/>
        </w:rPr>
        <w:t> </w:t>
      </w:r>
      <w:r w:rsidR="40A67F86" w:rsidRPr="7D298549">
        <w:rPr>
          <w:rFonts w:ascii="Franklin Gothic Book" w:eastAsia="Franklin Gothic Book" w:hAnsi="Franklin Gothic Book" w:cs="Franklin Gothic Book"/>
        </w:rPr>
        <w:t>The American Association of Community Colleges (AACC)</w:t>
      </w:r>
      <w:r w:rsidR="793042F9" w:rsidRPr="7D298549">
        <w:rPr>
          <w:rFonts w:ascii="Franklin Gothic Book" w:eastAsia="Franklin Gothic Book" w:hAnsi="Franklin Gothic Book" w:cs="Franklin Gothic Book"/>
        </w:rPr>
        <w:t xml:space="preserve"> estimates over 4.1 million </w:t>
      </w:r>
      <w:r w:rsidRPr="7D298549">
        <w:rPr>
          <w:rFonts w:ascii="Franklin Gothic Book" w:eastAsia="Franklin Gothic Book" w:hAnsi="Franklin Gothic Book" w:cs="Franklin Gothic Book"/>
        </w:rPr>
        <w:t>noncredit</w:t>
      </w:r>
      <w:r w:rsidR="793042F9" w:rsidRPr="7D298549">
        <w:rPr>
          <w:rFonts w:ascii="Franklin Gothic Book" w:eastAsia="Franklin Gothic Book" w:hAnsi="Franklin Gothic Book" w:cs="Franklin Gothic Book"/>
        </w:rPr>
        <w:t xml:space="preserve"> enrollments in Fall 2023 (headcount), representing 39% of total community college </w:t>
      </w:r>
      <w:r w:rsidR="793042F9" w:rsidRPr="7D298549">
        <w:rPr>
          <w:rFonts w:ascii="Franklin Gothic Book" w:eastAsia="Franklin Gothic Book" w:hAnsi="Franklin Gothic Book" w:cs="Franklin Gothic Book"/>
        </w:rPr>
        <w:lastRenderedPageBreak/>
        <w:t>enrollments nationwide.</w:t>
      </w:r>
      <w:r w:rsidR="006A2F80" w:rsidRPr="7D298549">
        <w:rPr>
          <w:rStyle w:val="FootnoteReference"/>
          <w:rFonts w:ascii="Franklin Gothic Book" w:eastAsia="Franklin Gothic Book" w:hAnsi="Franklin Gothic Book" w:cs="Franklin Gothic Book"/>
        </w:rPr>
        <w:footnoteReference w:id="2"/>
      </w:r>
      <w:r w:rsidR="793042F9" w:rsidRPr="7D298549">
        <w:rPr>
          <w:rFonts w:ascii="Franklin Gothic Book" w:eastAsia="Franklin Gothic Book" w:hAnsi="Franklin Gothic Book" w:cs="Franklin Gothic Book"/>
        </w:rPr>
        <w:t xml:space="preserve"> However, little is known about </w:t>
      </w:r>
      <w:r w:rsidRPr="7D298549">
        <w:rPr>
          <w:rFonts w:ascii="Franklin Gothic Book" w:eastAsia="Franklin Gothic Book" w:hAnsi="Franklin Gothic Book" w:cs="Franklin Gothic Book"/>
        </w:rPr>
        <w:t>noncredit</w:t>
      </w:r>
      <w:r w:rsidR="793042F9" w:rsidRPr="7D298549">
        <w:rPr>
          <w:rFonts w:ascii="Franklin Gothic Book" w:eastAsia="Franklin Gothic Book" w:hAnsi="Franklin Gothic Book" w:cs="Franklin Gothic Book"/>
        </w:rPr>
        <w:t xml:space="preserve"> student demographics, employment and earnings outcomes, future degree attainment, and quality and value of the credentials.</w:t>
      </w:r>
      <w:r w:rsidR="771F7BBC" w:rsidRPr="7D298549">
        <w:rPr>
          <w:rStyle w:val="FootnoteReference"/>
          <w:rFonts w:ascii="Franklin Gothic Book" w:eastAsia="Franklin Gothic Book" w:hAnsi="Franklin Gothic Book" w:cs="Franklin Gothic Book"/>
        </w:rPr>
        <w:t xml:space="preserve"> </w:t>
      </w:r>
      <w:r w:rsidR="00332B29" w:rsidRPr="7D298549">
        <w:rPr>
          <w:rStyle w:val="FootnoteReference"/>
          <w:rFonts w:ascii="Franklin Gothic Book" w:eastAsia="Franklin Gothic Book" w:hAnsi="Franklin Gothic Book" w:cs="Franklin Gothic Book"/>
        </w:rPr>
        <w:footnoteReference w:id="3"/>
      </w:r>
      <w:r w:rsidR="793042F9" w:rsidRPr="7D298549">
        <w:rPr>
          <w:rFonts w:ascii="Franklin Gothic Book" w:eastAsia="Franklin Gothic Book" w:hAnsi="Franklin Gothic Book" w:cs="Franklin Gothic Book"/>
        </w:rPr>
        <w:t xml:space="preserve"> </w:t>
      </w:r>
      <w:r w:rsidR="4B5CDD59" w:rsidRPr="7D298549">
        <w:rPr>
          <w:rFonts w:ascii="Franklin Gothic Book" w:eastAsia="Franklin Gothic Book" w:hAnsi="Franklin Gothic Book" w:cs="Franklin Gothic Book"/>
        </w:rPr>
        <w:t xml:space="preserve">Further, for learners who may pursue degree attainment </w:t>
      </w:r>
      <w:r w:rsidR="3897AFE5" w:rsidRPr="7D298549">
        <w:rPr>
          <w:rFonts w:ascii="Franklin Gothic Book" w:eastAsia="Franklin Gothic Book" w:hAnsi="Franklin Gothic Book" w:cs="Franklin Gothic Book"/>
        </w:rPr>
        <w:t>after</w:t>
      </w:r>
      <w:r w:rsidR="4B5CDD59" w:rsidRPr="7D298549">
        <w:rPr>
          <w:rFonts w:ascii="Franklin Gothic Book" w:eastAsia="Franklin Gothic Book" w:hAnsi="Franklin Gothic Book" w:cs="Franklin Gothic Book"/>
        </w:rPr>
        <w:t xml:space="preserve"> their </w:t>
      </w:r>
      <w:r w:rsidRPr="7D298549">
        <w:rPr>
          <w:rFonts w:ascii="Franklin Gothic Book" w:eastAsia="Franklin Gothic Book" w:hAnsi="Franklin Gothic Book" w:cs="Franklin Gothic Book"/>
        </w:rPr>
        <w:t>noncredit</w:t>
      </w:r>
      <w:r w:rsidR="4B5CDD59" w:rsidRPr="7D298549">
        <w:rPr>
          <w:rFonts w:ascii="Franklin Gothic Book" w:eastAsia="Franklin Gothic Book" w:hAnsi="Franklin Gothic Book" w:cs="Franklin Gothic Book"/>
        </w:rPr>
        <w:t xml:space="preserve"> engagement</w:t>
      </w:r>
      <w:r w:rsidR="3C89D0E7" w:rsidRPr="7D298549">
        <w:rPr>
          <w:rFonts w:ascii="Franklin Gothic Book" w:eastAsia="Franklin Gothic Book" w:hAnsi="Franklin Gothic Book" w:cs="Franklin Gothic Book"/>
        </w:rPr>
        <w:t xml:space="preserve">, </w:t>
      </w:r>
      <w:r w:rsidR="793042F9" w:rsidRPr="7D298549">
        <w:rPr>
          <w:rFonts w:ascii="Franklin Gothic Book" w:eastAsia="Franklin Gothic Book" w:hAnsi="Franklin Gothic Book" w:cs="Franklin Gothic Book"/>
        </w:rPr>
        <w:t xml:space="preserve">transparent and concrete </w:t>
      </w:r>
      <w:proofErr w:type="gramStart"/>
      <w:r w:rsidR="793042F9" w:rsidRPr="7D298549">
        <w:rPr>
          <w:rFonts w:ascii="Franklin Gothic Book" w:eastAsia="Franklin Gothic Book" w:hAnsi="Franklin Gothic Book" w:cs="Franklin Gothic Book"/>
        </w:rPr>
        <w:t>linkages</w:t>
      </w:r>
      <w:proofErr w:type="gramEnd"/>
      <w:r w:rsidR="793042F9" w:rsidRPr="7D298549">
        <w:rPr>
          <w:rFonts w:ascii="Franklin Gothic Book" w:eastAsia="Franklin Gothic Book" w:hAnsi="Franklin Gothic Book" w:cs="Franklin Gothic Book"/>
        </w:rPr>
        <w:t xml:space="preserve"> to credit pathways</w:t>
      </w:r>
      <w:r w:rsidR="4B5CDD59" w:rsidRPr="7D298549">
        <w:rPr>
          <w:rFonts w:ascii="Franklin Gothic Book" w:eastAsia="Franklin Gothic Book" w:hAnsi="Franklin Gothic Book" w:cs="Franklin Gothic Book"/>
        </w:rPr>
        <w:t xml:space="preserve"> are needed so those learners can capitalize on valuable momentum toward attainment</w:t>
      </w:r>
      <w:r w:rsidR="793042F9" w:rsidRPr="7D298549">
        <w:rPr>
          <w:rFonts w:ascii="Franklin Gothic Book" w:eastAsia="Franklin Gothic Book" w:hAnsi="Franklin Gothic Book" w:cs="Franklin Gothic Book"/>
        </w:rPr>
        <w:t xml:space="preserve">. </w:t>
      </w:r>
    </w:p>
    <w:p w14:paraId="751C3AE0" w14:textId="3453B7CF" w:rsidR="7D298549" w:rsidRDefault="7D298549" w:rsidP="7D298549">
      <w:pPr>
        <w:spacing w:after="0"/>
        <w:rPr>
          <w:rFonts w:ascii="Franklin Gothic Book" w:eastAsia="Franklin Gothic Book" w:hAnsi="Franklin Gothic Book" w:cs="Franklin Gothic Book"/>
        </w:rPr>
      </w:pPr>
    </w:p>
    <w:p w14:paraId="4AEACF47" w14:textId="3CB71446" w:rsidR="006A2F80" w:rsidRDefault="793042F9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 xml:space="preserve">States are increasingly recognizing the contributions </w:t>
      </w:r>
      <w:r w:rsidR="3A102F05"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 xml:space="preserve">of </w:t>
      </w:r>
      <w:r w:rsidR="0A4EC39E"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>noncredit</w:t>
      </w:r>
      <w:r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 xml:space="preserve"> offerings and credentials to </w:t>
      </w:r>
      <w:r w:rsidR="4B5CDD59"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>satisfy</w:t>
      </w:r>
      <w:r w:rsidR="3A102F05"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 xml:space="preserve"> the skilled workforce needs of employers</w:t>
      </w:r>
      <w:r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 xml:space="preserve">. Through </w:t>
      </w:r>
      <w:r w:rsidR="0A4EC39E"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>noncredit</w:t>
      </w:r>
      <w:r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 xml:space="preserve"> offerings, colleges have considerable flexibility to meet a variety of community needs that would not otherwise be served from within academic, professional</w:t>
      </w:r>
      <w:r w:rsidR="3E62E3D8"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>,</w:t>
      </w:r>
      <w:r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 xml:space="preserve"> and technical credential programs. It is timely, then, that Washington’s CTC system </w:t>
      </w:r>
      <w:r w:rsidR="771F7BBC"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>examines</w:t>
      </w:r>
      <w:r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 xml:space="preserve"> how it will maximize the potential of </w:t>
      </w:r>
      <w:r w:rsidR="0A4EC39E"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>noncredit</w:t>
      </w:r>
      <w:r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 xml:space="preserve"> offerings to meet its strategic goals, mission</w:t>
      </w:r>
      <w:r w:rsidR="40A67F86"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>,</w:t>
      </w:r>
      <w:r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 xml:space="preserve"> and vision</w:t>
      </w:r>
      <w:r w:rsidR="3A102F05" w:rsidRPr="7D298549">
        <w:rPr>
          <w:rFonts w:ascii="Franklin Gothic Book" w:eastAsia="Franklin Gothic Book" w:hAnsi="Franklin Gothic Book" w:cs="Franklin Gothic Book"/>
          <w:kern w:val="2"/>
          <w14:ligatures w14:val="standardContextual"/>
        </w:rPr>
        <w:t>.</w:t>
      </w:r>
    </w:p>
    <w:p w14:paraId="03740CCE" w14:textId="5C217FA5" w:rsidR="00FA5418" w:rsidRPr="002B5880" w:rsidRDefault="002497C9" w:rsidP="7D298549">
      <w:pPr>
        <w:pStyle w:val="Heading3"/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>Guiding Questions</w:t>
      </w:r>
      <w:r w:rsidR="3A102F05" w:rsidRPr="54A5C392">
        <w:rPr>
          <w:rFonts w:ascii="Franklin Gothic Book" w:eastAsia="Franklin Gothic Book" w:hAnsi="Franklin Gothic Book" w:cs="Franklin Gothic Book"/>
        </w:rPr>
        <w:t xml:space="preserve"> and Scope</w:t>
      </w:r>
    </w:p>
    <w:p w14:paraId="161BFA74" w14:textId="4C46C942" w:rsidR="00FA5418" w:rsidRPr="00332B29" w:rsidRDefault="5F7B9826" w:rsidP="7D298549">
      <w:pPr>
        <w:pStyle w:val="ListParagraph"/>
        <w:numPr>
          <w:ilvl w:val="0"/>
          <w:numId w:val="13"/>
        </w:numPr>
        <w:spacing w:after="120" w:line="240" w:lineRule="auto"/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 xml:space="preserve">How </w:t>
      </w:r>
      <w:r w:rsidR="3394DD6C" w:rsidRPr="54A5C392">
        <w:rPr>
          <w:rFonts w:ascii="Franklin Gothic Book" w:eastAsia="Franklin Gothic Book" w:hAnsi="Franklin Gothic Book" w:cs="Franklin Gothic Book"/>
        </w:rPr>
        <w:t>might</w:t>
      </w:r>
      <w:r w:rsidRPr="54A5C392">
        <w:rPr>
          <w:rFonts w:ascii="Franklin Gothic Book" w:eastAsia="Franklin Gothic Book" w:hAnsi="Franklin Gothic Book" w:cs="Franklin Gothic Book"/>
        </w:rPr>
        <w:t xml:space="preserve"> we</w:t>
      </w:r>
      <w:r w:rsidR="3C89D0E7" w:rsidRPr="54A5C392">
        <w:rPr>
          <w:rFonts w:ascii="Franklin Gothic Book" w:eastAsia="Franklin Gothic Book" w:hAnsi="Franklin Gothic Book" w:cs="Franklin Gothic Book"/>
        </w:rPr>
        <w:t>, as a system,</w:t>
      </w:r>
      <w:r w:rsidRPr="54A5C392">
        <w:rPr>
          <w:rFonts w:ascii="Franklin Gothic Book" w:eastAsia="Franklin Gothic Book" w:hAnsi="Franklin Gothic Book" w:cs="Franklin Gothic Book"/>
        </w:rPr>
        <w:t xml:space="preserve"> address the rising interest in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Pr="54A5C392">
        <w:rPr>
          <w:rFonts w:ascii="Franklin Gothic Book" w:eastAsia="Franklin Gothic Book" w:hAnsi="Franklin Gothic Book" w:cs="Franklin Gothic Book"/>
        </w:rPr>
        <w:t xml:space="preserve"> education and credentials?</w:t>
      </w:r>
    </w:p>
    <w:p w14:paraId="4C1E49F6" w14:textId="3B8DA4E7" w:rsidR="00BA55AE" w:rsidRPr="00BA55AE" w:rsidRDefault="002497C9" w:rsidP="54A5C392">
      <w:pPr>
        <w:pStyle w:val="Body"/>
        <w:numPr>
          <w:ilvl w:val="0"/>
          <w:numId w:val="13"/>
        </w:numPr>
        <w:spacing w:before="0" w:after="120" w:line="240" w:lineRule="auto"/>
        <w:rPr>
          <w:rFonts w:eastAsia="Franklin Gothic Book" w:cs="Franklin Gothic Book"/>
          <w:sz w:val="22"/>
        </w:rPr>
      </w:pPr>
      <w:r w:rsidRPr="54A5C392">
        <w:rPr>
          <w:rFonts w:eastAsia="Franklin Gothic Book" w:cs="Franklin Gothic Book"/>
          <w:sz w:val="22"/>
        </w:rPr>
        <w:t xml:space="preserve">How might we maximize the potential of </w:t>
      </w:r>
      <w:r w:rsidR="0A4EC39E" w:rsidRPr="54A5C392">
        <w:rPr>
          <w:rFonts w:eastAsia="Franklin Gothic Book" w:cs="Franklin Gothic Book"/>
          <w:sz w:val="22"/>
        </w:rPr>
        <w:t>noncredit</w:t>
      </w:r>
      <w:r w:rsidRPr="54A5C392">
        <w:rPr>
          <w:rFonts w:eastAsia="Franklin Gothic Book" w:cs="Franklin Gothic Book"/>
          <w:sz w:val="22"/>
        </w:rPr>
        <w:t xml:space="preserve"> offerings to meet the system’s strategic goals in pursuit of our shared mission and vision?</w:t>
      </w:r>
    </w:p>
    <w:p w14:paraId="56D4C7C9" w14:textId="075384AA" w:rsidR="003A6A6F" w:rsidRDefault="471BE7C9" w:rsidP="7D298549">
      <w:pPr>
        <w:spacing w:after="120" w:line="240" w:lineRule="auto"/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 xml:space="preserve">This </w:t>
      </w:r>
      <w:r w:rsidR="065F001D" w:rsidRPr="54A5C392">
        <w:rPr>
          <w:rFonts w:ascii="Franklin Gothic Book" w:eastAsia="Franklin Gothic Book" w:hAnsi="Franklin Gothic Book" w:cs="Franklin Gothic Book"/>
        </w:rPr>
        <w:t xml:space="preserve">proposal </w:t>
      </w:r>
      <w:r w:rsidRPr="54A5C392">
        <w:rPr>
          <w:rFonts w:ascii="Franklin Gothic Book" w:eastAsia="Franklin Gothic Book" w:hAnsi="Franklin Gothic Book" w:cs="Franklin Gothic Book"/>
        </w:rPr>
        <w:t xml:space="preserve">contemplates </w:t>
      </w:r>
      <w:r w:rsidR="13AE9360" w:rsidRPr="54A5C392">
        <w:rPr>
          <w:rFonts w:ascii="Franklin Gothic Book" w:eastAsia="Franklin Gothic Book" w:hAnsi="Franklin Gothic Book" w:cs="Franklin Gothic Book"/>
        </w:rPr>
        <w:t>two</w:t>
      </w:r>
      <w:r w:rsidRPr="54A5C392">
        <w:rPr>
          <w:rFonts w:ascii="Franklin Gothic Book" w:eastAsia="Franklin Gothic Book" w:hAnsi="Franklin Gothic Book" w:cs="Franklin Gothic Book"/>
        </w:rPr>
        <w:t xml:space="preserve"> major, concurrent tracks of work</w:t>
      </w:r>
      <w:r w:rsidR="58F5AA41" w:rsidRPr="54A5C392">
        <w:rPr>
          <w:rFonts w:ascii="Franklin Gothic Book" w:eastAsia="Franklin Gothic Book" w:hAnsi="Franklin Gothic Book" w:cs="Franklin Gothic Book"/>
        </w:rPr>
        <w:t xml:space="preserve"> in-scope</w:t>
      </w:r>
      <w:r w:rsidR="4B5CDD59" w:rsidRPr="54A5C392">
        <w:rPr>
          <w:rFonts w:ascii="Franklin Gothic Book" w:eastAsia="Franklin Gothic Book" w:hAnsi="Franklin Gothic Book" w:cs="Franklin Gothic Book"/>
        </w:rPr>
        <w:t xml:space="preserve">: Recognizing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="4B5CDD59" w:rsidRPr="54A5C392">
        <w:rPr>
          <w:rFonts w:ascii="Franklin Gothic Book" w:eastAsia="Franklin Gothic Book" w:hAnsi="Franklin Gothic Book" w:cs="Franklin Gothic Book"/>
        </w:rPr>
        <w:t xml:space="preserve"> offerings, and pathways to attainment</w:t>
      </w:r>
      <w:r w:rsidR="3A102F05" w:rsidRPr="54A5C392">
        <w:rPr>
          <w:rFonts w:ascii="Franklin Gothic Book" w:eastAsia="Franklin Gothic Book" w:hAnsi="Franklin Gothic Book" w:cs="Franklin Gothic Book"/>
        </w:rPr>
        <w:t xml:space="preserve">. </w:t>
      </w:r>
    </w:p>
    <w:p w14:paraId="27FC0CE3" w14:textId="4F6E0878" w:rsidR="003A6A6F" w:rsidRDefault="587732E4" w:rsidP="7D298549">
      <w:pPr>
        <w:spacing w:after="120" w:line="240" w:lineRule="auto"/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  <w:b/>
          <w:bCs/>
        </w:rPr>
        <w:t xml:space="preserve">Recognizing </w:t>
      </w:r>
      <w:r w:rsidR="0A4EC39E" w:rsidRPr="54A5C392">
        <w:rPr>
          <w:rFonts w:ascii="Franklin Gothic Book" w:eastAsia="Franklin Gothic Book" w:hAnsi="Franklin Gothic Book" w:cs="Franklin Gothic Book"/>
          <w:b/>
          <w:bCs/>
        </w:rPr>
        <w:t>Noncredit</w:t>
      </w:r>
      <w:r w:rsidRPr="54A5C392">
        <w:rPr>
          <w:rFonts w:ascii="Franklin Gothic Book" w:eastAsia="Franklin Gothic Book" w:hAnsi="Franklin Gothic Book" w:cs="Franklin Gothic Book"/>
          <w:b/>
          <w:bCs/>
        </w:rPr>
        <w:t xml:space="preserve"> Offerings:</w:t>
      </w:r>
      <w:r w:rsidRPr="54A5C392">
        <w:rPr>
          <w:rFonts w:ascii="Franklin Gothic Book" w:eastAsia="Franklin Gothic Book" w:hAnsi="Franklin Gothic Book" w:cs="Franklin Gothic Book"/>
        </w:rPr>
        <w:t xml:space="preserve"> How can the system recognize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Pr="54A5C392">
        <w:rPr>
          <w:rFonts w:ascii="Franklin Gothic Book" w:eastAsia="Franklin Gothic Book" w:hAnsi="Franklin Gothic Book" w:cs="Franklin Gothic Book"/>
        </w:rPr>
        <w:t xml:space="preserve"> education and credentials as integral contributors to workforce education throughout the system? The work of recognizing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Pr="54A5C392">
        <w:rPr>
          <w:rFonts w:ascii="Franklin Gothic Book" w:eastAsia="Franklin Gothic Book" w:hAnsi="Franklin Gothic Book" w:cs="Franklin Gothic Book"/>
        </w:rPr>
        <w:t xml:space="preserve"> offerings may include elements such as data about courses, enrollment, and students; accurate inventories of current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Pr="54A5C392">
        <w:rPr>
          <w:rFonts w:ascii="Franklin Gothic Book" w:eastAsia="Franklin Gothic Book" w:hAnsi="Franklin Gothic Book" w:cs="Franklin Gothic Book"/>
        </w:rPr>
        <w:t xml:space="preserve"> offerings; and including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Pr="54A5C392">
        <w:rPr>
          <w:rFonts w:ascii="Franklin Gothic Book" w:eastAsia="Franklin Gothic Book" w:hAnsi="Franklin Gothic Book" w:cs="Franklin Gothic Book"/>
        </w:rPr>
        <w:t xml:space="preserve"> offerings in how the system presents its workforce and economic development contributions to Washington. </w:t>
      </w:r>
    </w:p>
    <w:p w14:paraId="3CD9750F" w14:textId="6DD46E65" w:rsidR="00332B29" w:rsidRDefault="60AD9ECD" w:rsidP="7D298549">
      <w:pPr>
        <w:spacing w:after="120" w:line="240" w:lineRule="auto"/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  <w:b/>
          <w:bCs/>
        </w:rPr>
        <w:t>Pathways</w:t>
      </w:r>
      <w:r w:rsidR="5CBB120A" w:rsidRPr="54A5C392">
        <w:rPr>
          <w:rFonts w:ascii="Franklin Gothic Book" w:eastAsia="Franklin Gothic Book" w:hAnsi="Franklin Gothic Book" w:cs="Franklin Gothic Book"/>
          <w:b/>
          <w:bCs/>
        </w:rPr>
        <w:t xml:space="preserve"> to Attainment:</w:t>
      </w:r>
      <w:r w:rsidR="5CBB120A" w:rsidRPr="54A5C392">
        <w:rPr>
          <w:rFonts w:ascii="Franklin Gothic Book" w:eastAsia="Franklin Gothic Book" w:hAnsi="Franklin Gothic Book" w:cs="Franklin Gothic Book"/>
        </w:rPr>
        <w:t xml:space="preserve"> </w:t>
      </w:r>
      <w:r w:rsidR="587732E4" w:rsidRPr="54A5C392">
        <w:rPr>
          <w:rFonts w:ascii="Franklin Gothic Book" w:eastAsia="Franklin Gothic Book" w:hAnsi="Franklin Gothic Book" w:cs="Franklin Gothic Book"/>
        </w:rPr>
        <w:t xml:space="preserve">What </w:t>
      </w:r>
      <w:r w:rsidR="5CBB120A" w:rsidRPr="54A5C392">
        <w:rPr>
          <w:rFonts w:ascii="Franklin Gothic Book" w:eastAsia="Franklin Gothic Book" w:hAnsi="Franklin Gothic Book" w:cs="Franklin Gothic Book"/>
        </w:rPr>
        <w:t xml:space="preserve">systemwide strategies and shared practices </w:t>
      </w:r>
      <w:r w:rsidR="587732E4" w:rsidRPr="54A5C392">
        <w:rPr>
          <w:rFonts w:ascii="Franklin Gothic Book" w:eastAsia="Franklin Gothic Book" w:hAnsi="Franklin Gothic Book" w:cs="Franklin Gothic Book"/>
        </w:rPr>
        <w:t>can be used to</w:t>
      </w:r>
      <w:r w:rsidR="5CBB120A" w:rsidRPr="54A5C392">
        <w:rPr>
          <w:rFonts w:ascii="Franklin Gothic Book" w:eastAsia="Franklin Gothic Book" w:hAnsi="Franklin Gothic Book" w:cs="Franklin Gothic Book"/>
        </w:rPr>
        <w:t xml:space="preserve"> bridg</w:t>
      </w:r>
      <w:r w:rsidR="587732E4" w:rsidRPr="54A5C392">
        <w:rPr>
          <w:rFonts w:ascii="Franklin Gothic Book" w:eastAsia="Franklin Gothic Book" w:hAnsi="Franklin Gothic Book" w:cs="Franklin Gothic Book"/>
        </w:rPr>
        <w:t>e</w:t>
      </w:r>
      <w:r w:rsidR="5CBB120A" w:rsidRPr="54A5C392">
        <w:rPr>
          <w:rFonts w:ascii="Franklin Gothic Book" w:eastAsia="Franklin Gothic Book" w:hAnsi="Franklin Gothic Book" w:cs="Franklin Gothic Book"/>
        </w:rPr>
        <w:t xml:space="preserve">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="5CBB120A" w:rsidRPr="54A5C392">
        <w:rPr>
          <w:rFonts w:ascii="Franklin Gothic Book" w:eastAsia="Franklin Gothic Book" w:hAnsi="Franklin Gothic Book" w:cs="Franklin Gothic Book"/>
        </w:rPr>
        <w:t xml:space="preserve"> </w:t>
      </w:r>
      <w:r w:rsidR="1F100ACD" w:rsidRPr="54A5C392">
        <w:rPr>
          <w:rFonts w:ascii="Franklin Gothic Book" w:eastAsia="Franklin Gothic Book" w:hAnsi="Franklin Gothic Book" w:cs="Franklin Gothic Book"/>
        </w:rPr>
        <w:t xml:space="preserve">to </w:t>
      </w:r>
      <w:r w:rsidR="5CBB120A" w:rsidRPr="54A5C392">
        <w:rPr>
          <w:rFonts w:ascii="Franklin Gothic Book" w:eastAsia="Franklin Gothic Book" w:hAnsi="Franklin Gothic Book" w:cs="Franklin Gothic Book"/>
        </w:rPr>
        <w:t>credit on pathways of higher attainment.</w:t>
      </w:r>
      <w:r w:rsidR="1F100ACD" w:rsidRPr="54A5C392">
        <w:rPr>
          <w:rFonts w:ascii="Franklin Gothic Book" w:eastAsia="Franklin Gothic Book" w:hAnsi="Franklin Gothic Book" w:cs="Franklin Gothic Book"/>
        </w:rPr>
        <w:t xml:space="preserve"> The work of bridging to degree attainment may include elements such as shared </w:t>
      </w:r>
      <w:r w:rsidR="24BFA163" w:rsidRPr="54A5C392">
        <w:rPr>
          <w:rFonts w:ascii="Franklin Gothic Book" w:eastAsia="Franklin Gothic Book" w:hAnsi="Franklin Gothic Book" w:cs="Franklin Gothic Book"/>
        </w:rPr>
        <w:t xml:space="preserve">equitable </w:t>
      </w:r>
      <w:r w:rsidR="1F100ACD" w:rsidRPr="54A5C392">
        <w:rPr>
          <w:rFonts w:ascii="Franklin Gothic Book" w:eastAsia="Franklin Gothic Book" w:hAnsi="Franklin Gothic Book" w:cs="Franklin Gothic Book"/>
        </w:rPr>
        <w:t xml:space="preserve">practices in prior learning assessment (PLA); developing and demonstrating promising models for competency-based education; and creating predictable, visible credit equivalencies for industry recognized credentials. </w:t>
      </w:r>
    </w:p>
    <w:p w14:paraId="7378CC68" w14:textId="7D1E7411" w:rsidR="003A6A6F" w:rsidRDefault="53E60C38" w:rsidP="7D298549">
      <w:pPr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 xml:space="preserve">Importantly, the two concurrent tracks exist to make clear that the </w:t>
      </w:r>
      <w:r w:rsidR="3ABB1F5A" w:rsidRPr="54A5C392">
        <w:rPr>
          <w:rFonts w:ascii="Franklin Gothic Book" w:eastAsia="Franklin Gothic Book" w:hAnsi="Franklin Gothic Book" w:cs="Franklin Gothic Book"/>
        </w:rPr>
        <w:t>T</w:t>
      </w:r>
      <w:r w:rsidR="36BE743F" w:rsidRPr="54A5C392">
        <w:rPr>
          <w:rFonts w:ascii="Franklin Gothic Book" w:eastAsia="Franklin Gothic Book" w:hAnsi="Franklin Gothic Book" w:cs="Franklin Gothic Book"/>
        </w:rPr>
        <w:t xml:space="preserve">ask </w:t>
      </w:r>
      <w:r w:rsidR="025028EA" w:rsidRPr="54A5C392">
        <w:rPr>
          <w:rFonts w:ascii="Franklin Gothic Book" w:eastAsia="Franklin Gothic Book" w:hAnsi="Franklin Gothic Book" w:cs="Franklin Gothic Book"/>
        </w:rPr>
        <w:t>F</w:t>
      </w:r>
      <w:r w:rsidR="36BE743F" w:rsidRPr="54A5C392">
        <w:rPr>
          <w:rFonts w:ascii="Franklin Gothic Book" w:eastAsia="Franklin Gothic Book" w:hAnsi="Franklin Gothic Book" w:cs="Franklin Gothic Book"/>
        </w:rPr>
        <w:t>orce</w:t>
      </w:r>
      <w:r w:rsidRPr="54A5C392">
        <w:rPr>
          <w:rFonts w:ascii="Franklin Gothic Book" w:eastAsia="Franklin Gothic Book" w:hAnsi="Franklin Gothic Book" w:cs="Franklin Gothic Book"/>
        </w:rPr>
        <w:t xml:space="preserve"> is interested in both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Pr="54A5C392">
        <w:rPr>
          <w:rFonts w:ascii="Franklin Gothic Book" w:eastAsia="Franklin Gothic Book" w:hAnsi="Franklin Gothic Book" w:cs="Franklin Gothic Book"/>
        </w:rPr>
        <w:t xml:space="preserve"> in and of itself, and in how it may be better connected to specific pathways to degree attainment. </w:t>
      </w:r>
    </w:p>
    <w:p w14:paraId="4B6EE36A" w14:textId="65E44967" w:rsidR="003A6A6F" w:rsidRDefault="587732E4" w:rsidP="7D298549">
      <w:pPr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 xml:space="preserve">Upon </w:t>
      </w:r>
      <w:r w:rsidR="36BE743F" w:rsidRPr="54A5C392">
        <w:rPr>
          <w:rFonts w:ascii="Franklin Gothic Book" w:eastAsia="Franklin Gothic Book" w:hAnsi="Franklin Gothic Book" w:cs="Franklin Gothic Book"/>
        </w:rPr>
        <w:t xml:space="preserve">Task </w:t>
      </w:r>
      <w:r w:rsidR="26228791" w:rsidRPr="54A5C392">
        <w:rPr>
          <w:rFonts w:ascii="Franklin Gothic Book" w:eastAsia="Franklin Gothic Book" w:hAnsi="Franklin Gothic Book" w:cs="Franklin Gothic Book"/>
        </w:rPr>
        <w:t>F</w:t>
      </w:r>
      <w:r w:rsidR="36BE743F" w:rsidRPr="54A5C392">
        <w:rPr>
          <w:rFonts w:ascii="Franklin Gothic Book" w:eastAsia="Franklin Gothic Book" w:hAnsi="Franklin Gothic Book" w:cs="Franklin Gothic Book"/>
        </w:rPr>
        <w:t>orce</w:t>
      </w:r>
      <w:r w:rsidRPr="54A5C392">
        <w:rPr>
          <w:rFonts w:ascii="Franklin Gothic Book" w:eastAsia="Franklin Gothic Book" w:hAnsi="Franklin Gothic Book" w:cs="Franklin Gothic Book"/>
        </w:rPr>
        <w:t xml:space="preserve"> adoption of guiding questions and principles, the scope and planned deliverables will be refined within each major track and checked for alignment as work progresses.</w:t>
      </w:r>
    </w:p>
    <w:p w14:paraId="2F54C0FA" w14:textId="130097FF" w:rsidR="005B69B2" w:rsidRDefault="1B19364F" w:rsidP="7D298549">
      <w:pPr>
        <w:pStyle w:val="Heading3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D</w:t>
      </w:r>
      <w:r w:rsidR="27262FBE" w:rsidRPr="7D298549">
        <w:rPr>
          <w:rFonts w:ascii="Franklin Gothic Book" w:eastAsia="Franklin Gothic Book" w:hAnsi="Franklin Gothic Book" w:cs="Franklin Gothic Book"/>
        </w:rPr>
        <w:t>eliverables</w:t>
      </w:r>
    </w:p>
    <w:p w14:paraId="46F54CD0" w14:textId="56205399" w:rsidR="00092DD8" w:rsidRPr="00092DD8" w:rsidRDefault="13AE9360" w:rsidP="7D298549">
      <w:pPr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 xml:space="preserve">The </w:t>
      </w:r>
      <w:r w:rsidR="36BE743F" w:rsidRPr="54A5C392">
        <w:rPr>
          <w:rFonts w:ascii="Franklin Gothic Book" w:eastAsia="Franklin Gothic Book" w:hAnsi="Franklin Gothic Book" w:cs="Franklin Gothic Book"/>
        </w:rPr>
        <w:t xml:space="preserve">Task </w:t>
      </w:r>
      <w:r w:rsidR="7A8BA9F2" w:rsidRPr="54A5C392">
        <w:rPr>
          <w:rFonts w:ascii="Franklin Gothic Book" w:eastAsia="Franklin Gothic Book" w:hAnsi="Franklin Gothic Book" w:cs="Franklin Gothic Book"/>
        </w:rPr>
        <w:t>F</w:t>
      </w:r>
      <w:r w:rsidR="36BE743F" w:rsidRPr="54A5C392">
        <w:rPr>
          <w:rFonts w:ascii="Franklin Gothic Book" w:eastAsia="Franklin Gothic Book" w:hAnsi="Franklin Gothic Book" w:cs="Franklin Gothic Book"/>
        </w:rPr>
        <w:t>orce</w:t>
      </w:r>
      <w:r w:rsidRPr="54A5C392">
        <w:rPr>
          <w:rFonts w:ascii="Franklin Gothic Book" w:eastAsia="Franklin Gothic Book" w:hAnsi="Franklin Gothic Book" w:cs="Franklin Gothic Book"/>
        </w:rPr>
        <w:t xml:space="preserve"> will establish </w:t>
      </w:r>
      <w:r w:rsidR="5B40A0C6" w:rsidRPr="54A5C392">
        <w:rPr>
          <w:rFonts w:ascii="Franklin Gothic Book" w:eastAsia="Franklin Gothic Book" w:hAnsi="Franklin Gothic Book" w:cs="Franklin Gothic Book"/>
        </w:rPr>
        <w:t xml:space="preserve">its </w:t>
      </w:r>
      <w:proofErr w:type="gramStart"/>
      <w:r w:rsidRPr="54A5C392">
        <w:rPr>
          <w:rFonts w:ascii="Franklin Gothic Book" w:eastAsia="Franklin Gothic Book" w:hAnsi="Franklin Gothic Book" w:cs="Franklin Gothic Book"/>
        </w:rPr>
        <w:t>deliverables</w:t>
      </w:r>
      <w:proofErr w:type="gramEnd"/>
      <w:r w:rsidR="595FB753" w:rsidRPr="54A5C392">
        <w:rPr>
          <w:rFonts w:ascii="Franklin Gothic Book" w:eastAsia="Franklin Gothic Book" w:hAnsi="Franklin Gothic Book" w:cs="Franklin Gothic Book"/>
        </w:rPr>
        <w:t xml:space="preserve"> </w:t>
      </w:r>
      <w:r w:rsidR="703E11DE" w:rsidRPr="54A5C392">
        <w:rPr>
          <w:rFonts w:ascii="Franklin Gothic Book" w:eastAsia="Franklin Gothic Book" w:hAnsi="Franklin Gothic Book" w:cs="Franklin Gothic Book"/>
        </w:rPr>
        <w:t>over time</w:t>
      </w:r>
      <w:r w:rsidR="595FB753" w:rsidRPr="54A5C392">
        <w:rPr>
          <w:rFonts w:ascii="Franklin Gothic Book" w:eastAsia="Franklin Gothic Book" w:hAnsi="Franklin Gothic Book" w:cs="Franklin Gothic Book"/>
        </w:rPr>
        <w:t xml:space="preserve">. </w:t>
      </w:r>
      <w:r w:rsidR="3A102F05" w:rsidRPr="54A5C392">
        <w:rPr>
          <w:rFonts w:ascii="Franklin Gothic Book" w:eastAsia="Franklin Gothic Book" w:hAnsi="Franklin Gothic Book" w:cs="Franklin Gothic Book"/>
        </w:rPr>
        <w:t>T</w:t>
      </w:r>
      <w:r w:rsidR="595FB753" w:rsidRPr="54A5C392">
        <w:rPr>
          <w:rFonts w:ascii="Franklin Gothic Book" w:eastAsia="Franklin Gothic Book" w:hAnsi="Franklin Gothic Book" w:cs="Franklin Gothic Book"/>
        </w:rPr>
        <w:t xml:space="preserve">he following </w:t>
      </w:r>
      <w:r w:rsidR="3A102F05" w:rsidRPr="54A5C392">
        <w:rPr>
          <w:rFonts w:ascii="Franklin Gothic Book" w:eastAsia="Franklin Gothic Book" w:hAnsi="Franklin Gothic Book" w:cs="Franklin Gothic Book"/>
        </w:rPr>
        <w:t>are</w:t>
      </w:r>
      <w:r w:rsidRPr="54A5C392">
        <w:rPr>
          <w:rFonts w:ascii="Franklin Gothic Book" w:eastAsia="Franklin Gothic Book" w:hAnsi="Franklin Gothic Book" w:cs="Franklin Gothic Book"/>
        </w:rPr>
        <w:t xml:space="preserve"> </w:t>
      </w:r>
      <w:r w:rsidR="703E11DE" w:rsidRPr="54A5C392">
        <w:rPr>
          <w:rFonts w:ascii="Franklin Gothic Book" w:eastAsia="Franklin Gothic Book" w:hAnsi="Franklin Gothic Book" w:cs="Franklin Gothic Book"/>
        </w:rPr>
        <w:t>broad</w:t>
      </w:r>
      <w:r w:rsidR="3A102F05" w:rsidRPr="54A5C392">
        <w:rPr>
          <w:rFonts w:ascii="Franklin Gothic Book" w:eastAsia="Franklin Gothic Book" w:hAnsi="Franklin Gothic Book" w:cs="Franklin Gothic Book"/>
        </w:rPr>
        <w:t xml:space="preserve"> </w:t>
      </w:r>
      <w:r w:rsidR="595FB753" w:rsidRPr="54A5C392">
        <w:rPr>
          <w:rFonts w:ascii="Franklin Gothic Book" w:eastAsia="Franklin Gothic Book" w:hAnsi="Franklin Gothic Book" w:cs="Franklin Gothic Book"/>
        </w:rPr>
        <w:t>placeholders:</w:t>
      </w:r>
    </w:p>
    <w:p w14:paraId="5B7CFE84" w14:textId="6BA53093" w:rsidR="00F65008" w:rsidRDefault="471BE7C9" w:rsidP="7D298549">
      <w:pPr>
        <w:pStyle w:val="ListParagraph"/>
        <w:numPr>
          <w:ilvl w:val="0"/>
          <w:numId w:val="5"/>
        </w:numPr>
        <w:spacing w:after="120" w:line="240" w:lineRule="auto"/>
        <w:rPr>
          <w:rFonts w:ascii="Franklin Gothic Book" w:eastAsia="Franklin Gothic Book" w:hAnsi="Franklin Gothic Book" w:cs="Franklin Gothic Book"/>
          <w:color w:val="000000"/>
        </w:rPr>
      </w:pPr>
      <w:r w:rsidRPr="54A5C392">
        <w:rPr>
          <w:rFonts w:ascii="Franklin Gothic Book" w:eastAsia="Franklin Gothic Book" w:hAnsi="Franklin Gothic Book" w:cs="Franklin Gothic Book"/>
          <w:b/>
          <w:bCs/>
        </w:rPr>
        <w:t>Understanding</w:t>
      </w:r>
      <w:r w:rsidRPr="54A5C392">
        <w:rPr>
          <w:rFonts w:ascii="Franklin Gothic Book" w:eastAsia="Franklin Gothic Book" w:hAnsi="Franklin Gothic Book" w:cs="Franklin Gothic Book"/>
        </w:rPr>
        <w:t xml:space="preserve">: </w:t>
      </w:r>
      <w:r w:rsidR="4DCEFA84" w:rsidRPr="54A5C392">
        <w:rPr>
          <w:rFonts w:ascii="Franklin Gothic Book" w:eastAsia="Franklin Gothic Book" w:hAnsi="Franklin Gothic Book" w:cs="Franklin Gothic Book"/>
        </w:rPr>
        <w:t xml:space="preserve">Provide a clear understanding of </w:t>
      </w:r>
      <w:r w:rsidR="133694FA" w:rsidRPr="54A5C392">
        <w:rPr>
          <w:rFonts w:ascii="Franklin Gothic Book" w:eastAsia="Franklin Gothic Book" w:hAnsi="Franklin Gothic Book" w:cs="Franklin Gothic Book"/>
        </w:rPr>
        <w:t xml:space="preserve">learner expectations and needs, </w:t>
      </w:r>
      <w:r w:rsidR="4DCEFA84" w:rsidRPr="54A5C392">
        <w:rPr>
          <w:rFonts w:ascii="Franklin Gothic Book" w:eastAsia="Franklin Gothic Book" w:hAnsi="Franklin Gothic Book" w:cs="Franklin Gothic Book"/>
        </w:rPr>
        <w:t xml:space="preserve">the system’s current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="041AE920" w:rsidRPr="54A5C392">
        <w:rPr>
          <w:rFonts w:ascii="Franklin Gothic Book" w:eastAsia="Franklin Gothic Book" w:hAnsi="Franklin Gothic Book" w:cs="Franklin Gothic Book"/>
        </w:rPr>
        <w:t xml:space="preserve"> activity, data infrastructure, policy context, and linkages to degree attainment</w:t>
      </w:r>
      <w:r w:rsidR="4DCEFA84" w:rsidRPr="54A5C392">
        <w:rPr>
          <w:rFonts w:ascii="Franklin Gothic Book" w:eastAsia="Franklin Gothic Book" w:hAnsi="Franklin Gothic Book" w:cs="Franklin Gothic Book"/>
        </w:rPr>
        <w:t>.</w:t>
      </w:r>
      <w:r w:rsidR="08C21D06" w:rsidRPr="54A5C392">
        <w:rPr>
          <w:rFonts w:ascii="Franklin Gothic Book" w:eastAsia="Franklin Gothic Book" w:hAnsi="Franklin Gothic Book" w:cs="Franklin Gothic Book"/>
        </w:rPr>
        <w:t xml:space="preserve"> The work of understanding includes </w:t>
      </w:r>
      <w:proofErr w:type="gramStart"/>
      <w:r w:rsidR="08C21D06" w:rsidRPr="54A5C392">
        <w:rPr>
          <w:rFonts w:ascii="Franklin Gothic Book" w:eastAsia="Franklin Gothic Book" w:hAnsi="Franklin Gothic Book" w:cs="Franklin Gothic Book"/>
        </w:rPr>
        <w:t>scans</w:t>
      </w:r>
      <w:proofErr w:type="gramEnd"/>
      <w:r w:rsidR="08C21D06" w:rsidRPr="54A5C392">
        <w:rPr>
          <w:rFonts w:ascii="Franklin Gothic Book" w:eastAsia="Franklin Gothic Book" w:hAnsi="Franklin Gothic Book" w:cs="Franklin Gothic Book"/>
        </w:rPr>
        <w:t xml:space="preserve"> for </w:t>
      </w:r>
      <w:proofErr w:type="gramStart"/>
      <w:r w:rsidR="08C21D06" w:rsidRPr="54A5C392">
        <w:rPr>
          <w:rFonts w:ascii="Franklin Gothic Book" w:eastAsia="Franklin Gothic Book" w:hAnsi="Franklin Gothic Book" w:cs="Franklin Gothic Book"/>
        </w:rPr>
        <w:t>examples</w:t>
      </w:r>
      <w:proofErr w:type="gramEnd"/>
      <w:r w:rsidR="08C21D06" w:rsidRPr="54A5C392">
        <w:rPr>
          <w:rFonts w:ascii="Franklin Gothic Book" w:eastAsia="Franklin Gothic Book" w:hAnsi="Franklin Gothic Book" w:cs="Franklin Gothic Book"/>
        </w:rPr>
        <w:t xml:space="preserve"> and best practices from other states, </w:t>
      </w:r>
      <w:r w:rsidR="703E11DE" w:rsidRPr="54A5C392">
        <w:rPr>
          <w:rFonts w:ascii="Franklin Gothic Book" w:eastAsia="Franklin Gothic Book" w:hAnsi="Franklin Gothic Book" w:cs="Franklin Gothic Book"/>
        </w:rPr>
        <w:t>systems,</w:t>
      </w:r>
      <w:r w:rsidR="08C21D06" w:rsidRPr="54A5C392">
        <w:rPr>
          <w:rFonts w:ascii="Franklin Gothic Book" w:eastAsia="Franklin Gothic Book" w:hAnsi="Franklin Gothic Book" w:cs="Franklin Gothic Book"/>
        </w:rPr>
        <w:t xml:space="preserve"> and institutions. </w:t>
      </w:r>
    </w:p>
    <w:p w14:paraId="3D6E4444" w14:textId="448F5A8A" w:rsidR="00EC09CE" w:rsidRDefault="471BE7C9" w:rsidP="54A5C39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Franklin Gothic Book" w:eastAsia="Franklin Gothic Book" w:hAnsi="Franklin Gothic Book" w:cs="Franklin Gothic Book"/>
          <w:color w:val="000000"/>
        </w:rPr>
      </w:pPr>
      <w:r w:rsidRPr="54A5C392">
        <w:rPr>
          <w:rFonts w:ascii="Franklin Gothic Book" w:eastAsia="Franklin Gothic Book" w:hAnsi="Franklin Gothic Book" w:cs="Franklin Gothic Book"/>
          <w:b/>
          <w:bCs/>
        </w:rPr>
        <w:t>Challenges and Opportunities</w:t>
      </w:r>
      <w:r w:rsidRPr="54A5C392">
        <w:rPr>
          <w:rFonts w:ascii="Franklin Gothic Book" w:eastAsia="Franklin Gothic Book" w:hAnsi="Franklin Gothic Book" w:cs="Franklin Gothic Book"/>
        </w:rPr>
        <w:t xml:space="preserve">: </w:t>
      </w:r>
      <w:r w:rsidR="5B65DAB1" w:rsidRPr="54A5C392">
        <w:rPr>
          <w:rFonts w:ascii="Franklin Gothic Book" w:eastAsia="Franklin Gothic Book" w:hAnsi="Franklin Gothic Book" w:cs="Franklin Gothic Book"/>
        </w:rPr>
        <w:t xml:space="preserve">Identify specific challenges and opportunities associated with </w:t>
      </w:r>
      <w:r w:rsidR="595FB753" w:rsidRPr="54A5C392">
        <w:rPr>
          <w:rFonts w:ascii="Franklin Gothic Book" w:eastAsia="Franklin Gothic Book" w:hAnsi="Franklin Gothic Book" w:cs="Franklin Gothic Book"/>
        </w:rPr>
        <w:t xml:space="preserve">formalizing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="595FB753" w:rsidRPr="54A5C392">
        <w:rPr>
          <w:rFonts w:ascii="Franklin Gothic Book" w:eastAsia="Franklin Gothic Book" w:hAnsi="Franklin Gothic Book" w:cs="Franklin Gothic Book"/>
        </w:rPr>
        <w:t xml:space="preserve"> offerings and </w:t>
      </w:r>
      <w:r w:rsidR="5B65DAB1" w:rsidRPr="54A5C392">
        <w:rPr>
          <w:rFonts w:ascii="Franklin Gothic Book" w:eastAsia="Franklin Gothic Book" w:hAnsi="Franklin Gothic Book" w:cs="Franklin Gothic Book"/>
        </w:rPr>
        <w:t>aligning to degree attainment pathways.</w:t>
      </w:r>
    </w:p>
    <w:p w14:paraId="4399573D" w14:textId="7ADA763B" w:rsidR="004F1AC8" w:rsidRPr="004F1AC8" w:rsidRDefault="471BE7C9" w:rsidP="54A5C39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Franklin Gothic Book" w:eastAsia="Franklin Gothic Book" w:hAnsi="Franklin Gothic Book" w:cs="Franklin Gothic Book"/>
          <w:color w:val="000000"/>
        </w:rPr>
      </w:pPr>
      <w:r w:rsidRPr="54A5C392">
        <w:rPr>
          <w:rFonts w:ascii="Franklin Gothic Book" w:eastAsia="Franklin Gothic Book" w:hAnsi="Franklin Gothic Book" w:cs="Franklin Gothic Book"/>
          <w:b/>
          <w:bCs/>
        </w:rPr>
        <w:lastRenderedPageBreak/>
        <w:t>Recommendations and Frameworks</w:t>
      </w:r>
      <w:r w:rsidRPr="54A5C392">
        <w:rPr>
          <w:rFonts w:ascii="Franklin Gothic Book" w:eastAsia="Franklin Gothic Book" w:hAnsi="Franklin Gothic Book" w:cs="Franklin Gothic Book"/>
        </w:rPr>
        <w:t xml:space="preserve">: </w:t>
      </w:r>
      <w:r w:rsidR="041AE920" w:rsidRPr="54A5C392">
        <w:rPr>
          <w:rFonts w:ascii="Franklin Gothic Book" w:eastAsia="Franklin Gothic Book" w:hAnsi="Franklin Gothic Book" w:cs="Franklin Gothic Book"/>
        </w:rPr>
        <w:t xml:space="preserve">Develop </w:t>
      </w:r>
      <w:r w:rsidR="5DA840E6" w:rsidRPr="54A5C392">
        <w:rPr>
          <w:rFonts w:ascii="Franklin Gothic Book" w:eastAsia="Franklin Gothic Book" w:hAnsi="Franklin Gothic Book" w:cs="Franklin Gothic Book"/>
        </w:rPr>
        <w:t xml:space="preserve">recommendations and </w:t>
      </w:r>
      <w:r w:rsidR="041AE920" w:rsidRPr="54A5C392">
        <w:rPr>
          <w:rFonts w:ascii="Franklin Gothic Book" w:eastAsia="Franklin Gothic Book" w:hAnsi="Franklin Gothic Book" w:cs="Franklin Gothic Book"/>
        </w:rPr>
        <w:t>framework</w:t>
      </w:r>
      <w:r w:rsidR="27262FBE" w:rsidRPr="54A5C392">
        <w:rPr>
          <w:rFonts w:ascii="Franklin Gothic Book" w:eastAsia="Franklin Gothic Book" w:hAnsi="Franklin Gothic Book" w:cs="Franklin Gothic Book"/>
        </w:rPr>
        <w:t>s</w:t>
      </w:r>
      <w:r w:rsidR="041AE920" w:rsidRPr="54A5C392">
        <w:rPr>
          <w:rFonts w:ascii="Franklin Gothic Book" w:eastAsia="Franklin Gothic Book" w:hAnsi="Franklin Gothic Book" w:cs="Franklin Gothic Book"/>
        </w:rPr>
        <w:t xml:space="preserve"> for aligning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="041AE920" w:rsidRPr="54A5C392">
        <w:rPr>
          <w:rFonts w:ascii="Franklin Gothic Book" w:eastAsia="Franklin Gothic Book" w:hAnsi="Franklin Gothic Book" w:cs="Franklin Gothic Book"/>
        </w:rPr>
        <w:t xml:space="preserve"> learning to specific system </w:t>
      </w:r>
      <w:r w:rsidR="2CE34AB9" w:rsidRPr="54A5C392">
        <w:rPr>
          <w:rFonts w:ascii="Franklin Gothic Book" w:eastAsia="Franklin Gothic Book" w:hAnsi="Franklin Gothic Book" w:cs="Franklin Gothic Book"/>
        </w:rPr>
        <w:t>objectives</w:t>
      </w:r>
      <w:r w:rsidR="041AE920" w:rsidRPr="54A5C392">
        <w:rPr>
          <w:rFonts w:ascii="Franklin Gothic Book" w:eastAsia="Franklin Gothic Book" w:hAnsi="Franklin Gothic Book" w:cs="Franklin Gothic Book"/>
        </w:rPr>
        <w:t xml:space="preserve"> related to</w:t>
      </w:r>
      <w:r w:rsidR="065F001D" w:rsidRPr="54A5C392">
        <w:rPr>
          <w:rFonts w:ascii="Franklin Gothic Book" w:eastAsia="Franklin Gothic Book" w:hAnsi="Franklin Gothic Book" w:cs="Franklin Gothic Book"/>
        </w:rPr>
        <w:t xml:space="preserve"> a</w:t>
      </w:r>
      <w:r w:rsidR="041AE920" w:rsidRPr="54A5C392">
        <w:rPr>
          <w:rFonts w:ascii="Franklin Gothic Book" w:eastAsia="Franklin Gothic Book" w:hAnsi="Franklin Gothic Book" w:cs="Franklin Gothic Book"/>
        </w:rPr>
        <w:t>dult learner re-engagement</w:t>
      </w:r>
      <w:r w:rsidR="7DC58462" w:rsidRPr="54A5C392">
        <w:rPr>
          <w:rFonts w:ascii="Franklin Gothic Book" w:eastAsia="Franklin Gothic Book" w:hAnsi="Franklin Gothic Book" w:cs="Franklin Gothic Book"/>
        </w:rPr>
        <w:t xml:space="preserve"> </w:t>
      </w:r>
      <w:r w:rsidR="27262FBE" w:rsidRPr="54A5C392">
        <w:rPr>
          <w:rFonts w:ascii="Franklin Gothic Book" w:eastAsia="Franklin Gothic Book" w:hAnsi="Franklin Gothic Book" w:cs="Franklin Gothic Book"/>
        </w:rPr>
        <w:t>(</w:t>
      </w:r>
      <w:r w:rsidR="1F100ACD" w:rsidRPr="54A5C392">
        <w:rPr>
          <w:rFonts w:ascii="Franklin Gothic Book" w:eastAsia="Franklin Gothic Book" w:hAnsi="Franklin Gothic Book" w:cs="Franklin Gothic Book"/>
        </w:rPr>
        <w:t xml:space="preserve">SBCTC Strategic Plan </w:t>
      </w:r>
      <w:r w:rsidR="27262FBE" w:rsidRPr="54A5C392">
        <w:rPr>
          <w:rFonts w:ascii="Franklin Gothic Book" w:eastAsia="Franklin Gothic Book" w:hAnsi="Franklin Gothic Book" w:cs="Franklin Gothic Book"/>
        </w:rPr>
        <w:t>Goal 1)</w:t>
      </w:r>
      <w:r w:rsidR="065F001D" w:rsidRPr="54A5C392">
        <w:rPr>
          <w:rFonts w:ascii="Franklin Gothic Book" w:eastAsia="Franklin Gothic Book" w:hAnsi="Franklin Gothic Book" w:cs="Franklin Gothic Book"/>
        </w:rPr>
        <w:t xml:space="preserve"> and f</w:t>
      </w:r>
      <w:r w:rsidR="7DC58462" w:rsidRPr="54A5C392">
        <w:rPr>
          <w:rFonts w:ascii="Franklin Gothic Book" w:eastAsia="Franklin Gothic Book" w:hAnsi="Franklin Gothic Book" w:cs="Franklin Gothic Book"/>
        </w:rPr>
        <w:t>lexible, career relevant learning (Goal 3)</w:t>
      </w:r>
      <w:r w:rsidR="3A102F05" w:rsidRPr="54A5C392">
        <w:rPr>
          <w:rFonts w:ascii="Franklin Gothic Book" w:eastAsia="Franklin Gothic Book" w:hAnsi="Franklin Gothic Book" w:cs="Franklin Gothic Book"/>
        </w:rPr>
        <w:t>.</w:t>
      </w:r>
    </w:p>
    <w:p w14:paraId="1E4024C2" w14:textId="257B922F" w:rsidR="00256D9D" w:rsidRPr="00256D9D" w:rsidRDefault="5CBB120A" w:rsidP="54A5C39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Franklin Gothic Book" w:eastAsia="Franklin Gothic Book" w:hAnsi="Franklin Gothic Book" w:cs="Franklin Gothic Book"/>
          <w:color w:val="000000"/>
        </w:rPr>
      </w:pPr>
      <w:r w:rsidRPr="54A5C392">
        <w:rPr>
          <w:rFonts w:ascii="Franklin Gothic Book" w:eastAsia="Franklin Gothic Book" w:hAnsi="Franklin Gothic Book" w:cs="Franklin Gothic Book"/>
          <w:b/>
          <w:bCs/>
        </w:rPr>
        <w:t>Policy and Procedure</w:t>
      </w:r>
      <w:r w:rsidR="08C21D06" w:rsidRPr="54A5C392">
        <w:rPr>
          <w:rFonts w:ascii="Franklin Gothic Book" w:eastAsia="Franklin Gothic Book" w:hAnsi="Franklin Gothic Book" w:cs="Franklin Gothic Book"/>
        </w:rPr>
        <w:t>: Review policies and procedures to i</w:t>
      </w:r>
      <w:r w:rsidR="4EB6E038" w:rsidRPr="54A5C392">
        <w:rPr>
          <w:rFonts w:ascii="Franklin Gothic Book" w:eastAsia="Franklin Gothic Book" w:hAnsi="Franklin Gothic Book" w:cs="Franklin Gothic Book"/>
        </w:rPr>
        <w:t xml:space="preserve">dentify requirements that are necessary to successfully operationalize </w:t>
      </w:r>
      <w:r w:rsidR="136F2396" w:rsidRPr="54A5C392">
        <w:rPr>
          <w:rFonts w:ascii="Franklin Gothic Book" w:eastAsia="Franklin Gothic Book" w:hAnsi="Franklin Gothic Book" w:cs="Franklin Gothic Book"/>
        </w:rPr>
        <w:t>T</w:t>
      </w:r>
      <w:r w:rsidR="36BE743F" w:rsidRPr="54A5C392">
        <w:rPr>
          <w:rFonts w:ascii="Franklin Gothic Book" w:eastAsia="Franklin Gothic Book" w:hAnsi="Franklin Gothic Book" w:cs="Franklin Gothic Book"/>
        </w:rPr>
        <w:t xml:space="preserve">ask </w:t>
      </w:r>
      <w:r w:rsidR="60C4FEA2" w:rsidRPr="54A5C392">
        <w:rPr>
          <w:rFonts w:ascii="Franklin Gothic Book" w:eastAsia="Franklin Gothic Book" w:hAnsi="Franklin Gothic Book" w:cs="Franklin Gothic Book"/>
        </w:rPr>
        <w:t>F</w:t>
      </w:r>
      <w:r w:rsidR="36BE743F" w:rsidRPr="54A5C392">
        <w:rPr>
          <w:rFonts w:ascii="Franklin Gothic Book" w:eastAsia="Franklin Gothic Book" w:hAnsi="Franklin Gothic Book" w:cs="Franklin Gothic Book"/>
        </w:rPr>
        <w:t>orce</w:t>
      </w:r>
      <w:r w:rsidR="4EB6E038" w:rsidRPr="54A5C392">
        <w:rPr>
          <w:rFonts w:ascii="Franklin Gothic Book" w:eastAsia="Franklin Gothic Book" w:hAnsi="Franklin Gothic Book" w:cs="Franklin Gothic Book"/>
        </w:rPr>
        <w:t xml:space="preserve"> recommendations.</w:t>
      </w:r>
    </w:p>
    <w:p w14:paraId="653CE23F" w14:textId="6262D91B" w:rsidR="00F65008" w:rsidRPr="00256D9D" w:rsidRDefault="471BE7C9" w:rsidP="54A5C392">
      <w:pPr>
        <w:pStyle w:val="ListParagraph"/>
        <w:numPr>
          <w:ilvl w:val="0"/>
          <w:numId w:val="5"/>
        </w:numPr>
        <w:spacing w:before="100" w:beforeAutospacing="1" w:after="120" w:line="240" w:lineRule="auto"/>
        <w:rPr>
          <w:rFonts w:ascii="Franklin Gothic Book" w:eastAsia="Franklin Gothic Book" w:hAnsi="Franklin Gothic Book" w:cs="Franklin Gothic Book"/>
          <w:color w:val="000000"/>
        </w:rPr>
      </w:pPr>
      <w:r w:rsidRPr="54A5C392">
        <w:rPr>
          <w:rFonts w:ascii="Franklin Gothic Book" w:eastAsia="Franklin Gothic Book" w:hAnsi="Franklin Gothic Book" w:cs="Franklin Gothic Book"/>
          <w:b/>
          <w:bCs/>
        </w:rPr>
        <w:t>Data</w:t>
      </w:r>
      <w:r w:rsidRPr="54A5C392">
        <w:rPr>
          <w:rFonts w:ascii="Franklin Gothic Book" w:eastAsia="Franklin Gothic Book" w:hAnsi="Franklin Gothic Book" w:cs="Franklin Gothic Book"/>
        </w:rPr>
        <w:t xml:space="preserve">: </w:t>
      </w:r>
      <w:r w:rsidR="4DCEFA84" w:rsidRPr="54A5C392">
        <w:rPr>
          <w:rFonts w:ascii="Franklin Gothic Book" w:eastAsia="Franklin Gothic Book" w:hAnsi="Franklin Gothic Book" w:cs="Franklin Gothic Book"/>
        </w:rPr>
        <w:t xml:space="preserve">Identify </w:t>
      </w:r>
      <w:r w:rsidR="041AE920" w:rsidRPr="54A5C392">
        <w:rPr>
          <w:rFonts w:ascii="Franklin Gothic Book" w:eastAsia="Franklin Gothic Book" w:hAnsi="Franklin Gothic Book" w:cs="Franklin Gothic Book"/>
        </w:rPr>
        <w:t xml:space="preserve">data infrastructure and collection requirements that are necessary </w:t>
      </w:r>
      <w:r w:rsidR="27262FBE" w:rsidRPr="54A5C392">
        <w:rPr>
          <w:rFonts w:ascii="Franklin Gothic Book" w:eastAsia="Franklin Gothic Book" w:hAnsi="Franklin Gothic Book" w:cs="Franklin Gothic Book"/>
        </w:rPr>
        <w:t>to</w:t>
      </w:r>
      <w:r w:rsidR="041AE920" w:rsidRPr="54A5C392">
        <w:rPr>
          <w:rFonts w:ascii="Franklin Gothic Book" w:eastAsia="Franklin Gothic Book" w:hAnsi="Franklin Gothic Book" w:cs="Franklin Gothic Book"/>
        </w:rPr>
        <w:t xml:space="preserve"> successfully implement </w:t>
      </w:r>
      <w:r w:rsidR="523C9E24" w:rsidRPr="54A5C392">
        <w:rPr>
          <w:rFonts w:ascii="Franklin Gothic Book" w:eastAsia="Franklin Gothic Book" w:hAnsi="Franklin Gothic Book" w:cs="Franklin Gothic Book"/>
        </w:rPr>
        <w:t>T</w:t>
      </w:r>
      <w:r w:rsidR="36BE743F" w:rsidRPr="54A5C392">
        <w:rPr>
          <w:rFonts w:ascii="Franklin Gothic Book" w:eastAsia="Franklin Gothic Book" w:hAnsi="Franklin Gothic Book" w:cs="Franklin Gothic Book"/>
        </w:rPr>
        <w:t xml:space="preserve">ask </w:t>
      </w:r>
      <w:r w:rsidR="35DCA658" w:rsidRPr="54A5C392">
        <w:rPr>
          <w:rFonts w:ascii="Franklin Gothic Book" w:eastAsia="Franklin Gothic Book" w:hAnsi="Franklin Gothic Book" w:cs="Franklin Gothic Book"/>
        </w:rPr>
        <w:t>F</w:t>
      </w:r>
      <w:r w:rsidR="36BE743F" w:rsidRPr="54A5C392">
        <w:rPr>
          <w:rFonts w:ascii="Franklin Gothic Book" w:eastAsia="Franklin Gothic Book" w:hAnsi="Franklin Gothic Book" w:cs="Franklin Gothic Book"/>
        </w:rPr>
        <w:t>orce</w:t>
      </w:r>
      <w:r w:rsidR="041AE920" w:rsidRPr="54A5C392">
        <w:rPr>
          <w:rFonts w:ascii="Franklin Gothic Book" w:eastAsia="Franklin Gothic Book" w:hAnsi="Franklin Gothic Book" w:cs="Franklin Gothic Book"/>
        </w:rPr>
        <w:t xml:space="preserve"> </w:t>
      </w:r>
      <w:r w:rsidR="5DA840E6" w:rsidRPr="54A5C392">
        <w:rPr>
          <w:rFonts w:ascii="Franklin Gothic Book" w:eastAsia="Franklin Gothic Book" w:hAnsi="Franklin Gothic Book" w:cs="Franklin Gothic Book"/>
        </w:rPr>
        <w:t xml:space="preserve">frameworks and </w:t>
      </w:r>
      <w:r w:rsidR="041AE920" w:rsidRPr="54A5C392">
        <w:rPr>
          <w:rFonts w:ascii="Franklin Gothic Book" w:eastAsia="Franklin Gothic Book" w:hAnsi="Franklin Gothic Book" w:cs="Franklin Gothic Book"/>
        </w:rPr>
        <w:t>recommendations</w:t>
      </w:r>
      <w:r w:rsidR="4DCEFA84" w:rsidRPr="54A5C392">
        <w:rPr>
          <w:rFonts w:ascii="Franklin Gothic Book" w:eastAsia="Franklin Gothic Book" w:hAnsi="Franklin Gothic Book" w:cs="Franklin Gothic Book"/>
        </w:rPr>
        <w:t xml:space="preserve">. </w:t>
      </w:r>
    </w:p>
    <w:p w14:paraId="492B833A" w14:textId="6DF0CDE6" w:rsidR="00EF7F8F" w:rsidRPr="00EF7F8F" w:rsidRDefault="48B494A0" w:rsidP="7D298549">
      <w:pPr>
        <w:pStyle w:val="Heading3"/>
        <w:rPr>
          <w:rFonts w:ascii="Franklin Gothic Book" w:eastAsia="Franklin Gothic Book" w:hAnsi="Franklin Gothic Book" w:cs="Franklin Gothic Book"/>
        </w:rPr>
      </w:pPr>
      <w:bookmarkStart w:id="0" w:name="_Hlk210314396"/>
      <w:r w:rsidRPr="54A5C392">
        <w:rPr>
          <w:rFonts w:ascii="Franklin Gothic Book" w:eastAsia="Franklin Gothic Book" w:hAnsi="Franklin Gothic Book" w:cs="Franklin Gothic Book"/>
        </w:rPr>
        <w:t>Guiding Principles</w:t>
      </w:r>
    </w:p>
    <w:p w14:paraId="310FA14E" w14:textId="5B1EED50" w:rsidR="00EF5A3C" w:rsidRPr="00EF5A3C" w:rsidRDefault="1CC64E2E" w:rsidP="7D298549">
      <w:pPr>
        <w:spacing w:before="120" w:after="0" w:line="240" w:lineRule="auto"/>
        <w:rPr>
          <w:rFonts w:ascii="Franklin Gothic Book" w:eastAsia="Franklin Gothic Book" w:hAnsi="Franklin Gothic Book" w:cs="Franklin Gothic Book"/>
        </w:rPr>
      </w:pPr>
      <w:bookmarkStart w:id="1" w:name="_Hlk210314341"/>
      <w:bookmarkEnd w:id="0"/>
      <w:r w:rsidRPr="7D298549">
        <w:rPr>
          <w:rFonts w:ascii="Franklin Gothic Book" w:eastAsia="Franklin Gothic Book" w:hAnsi="Franklin Gothic Book" w:cs="Franklin Gothic Book"/>
        </w:rPr>
        <w:t xml:space="preserve">Efforts, deliverables, and recommendations will align with the system’s mission, vision, </w:t>
      </w:r>
      <w:r w:rsidR="405DADE0" w:rsidRPr="7D298549">
        <w:rPr>
          <w:rFonts w:ascii="Franklin Gothic Book" w:eastAsia="Franklin Gothic Book" w:hAnsi="Franklin Gothic Book" w:cs="Franklin Gothic Book"/>
        </w:rPr>
        <w:t xml:space="preserve">and </w:t>
      </w:r>
      <w:r w:rsidRPr="7D298549">
        <w:rPr>
          <w:rFonts w:ascii="Franklin Gothic Book" w:eastAsia="Franklin Gothic Book" w:hAnsi="Franklin Gothic Book" w:cs="Franklin Gothic Book"/>
        </w:rPr>
        <w:t>values. In addition, this body of work will be guided by the following principles:</w:t>
      </w:r>
    </w:p>
    <w:p w14:paraId="3179FF0D" w14:textId="77777777" w:rsidR="009439BE" w:rsidRDefault="009439BE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</w:p>
    <w:p w14:paraId="3A36325F" w14:textId="5CA5CBFF" w:rsidR="00EF5A3C" w:rsidRPr="00EF5A3C" w:rsidRDefault="1CC64E2E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  <w:b/>
          <w:bCs/>
        </w:rPr>
        <w:t>Equity and Access</w:t>
      </w:r>
      <w:r w:rsidR="405DADE0" w:rsidRPr="54A5C392">
        <w:rPr>
          <w:rFonts w:ascii="Franklin Gothic Book" w:eastAsia="Franklin Gothic Book" w:hAnsi="Franklin Gothic Book" w:cs="Franklin Gothic Book"/>
        </w:rPr>
        <w:t xml:space="preserve">: </w:t>
      </w:r>
      <w:r w:rsidR="36BE743F" w:rsidRPr="54A5C392">
        <w:rPr>
          <w:rFonts w:ascii="Franklin Gothic Book" w:eastAsia="Franklin Gothic Book" w:hAnsi="Franklin Gothic Book" w:cs="Franklin Gothic Book"/>
        </w:rPr>
        <w:t xml:space="preserve">Task </w:t>
      </w:r>
      <w:r w:rsidR="1966C76E" w:rsidRPr="54A5C392">
        <w:rPr>
          <w:rFonts w:ascii="Franklin Gothic Book" w:eastAsia="Franklin Gothic Book" w:hAnsi="Franklin Gothic Book" w:cs="Franklin Gothic Book"/>
        </w:rPr>
        <w:t>Fo</w:t>
      </w:r>
      <w:r w:rsidR="36BE743F" w:rsidRPr="54A5C392">
        <w:rPr>
          <w:rFonts w:ascii="Franklin Gothic Book" w:eastAsia="Franklin Gothic Book" w:hAnsi="Franklin Gothic Book" w:cs="Franklin Gothic Book"/>
        </w:rPr>
        <w:t>rce</w:t>
      </w:r>
      <w:r w:rsidR="001AB72C" w:rsidRPr="54A5C392">
        <w:rPr>
          <w:rFonts w:ascii="Franklin Gothic Book" w:eastAsia="Franklin Gothic Book" w:hAnsi="Franklin Gothic Book" w:cs="Franklin Gothic Book"/>
        </w:rPr>
        <w:t xml:space="preserve"> </w:t>
      </w:r>
      <w:r w:rsidR="5DD24347" w:rsidRPr="54A5C392">
        <w:rPr>
          <w:rFonts w:ascii="Franklin Gothic Book" w:eastAsia="Franklin Gothic Book" w:hAnsi="Franklin Gothic Book" w:cs="Franklin Gothic Book"/>
        </w:rPr>
        <w:t xml:space="preserve">recommendations </w:t>
      </w:r>
      <w:r w:rsidR="001AB72C" w:rsidRPr="54A5C392">
        <w:rPr>
          <w:rFonts w:ascii="Franklin Gothic Book" w:eastAsia="Franklin Gothic Book" w:hAnsi="Franklin Gothic Book" w:cs="Franklin Gothic Book"/>
        </w:rPr>
        <w:t xml:space="preserve">will be in the interest of advancing equity. </w:t>
      </w:r>
      <w:r w:rsidRPr="54A5C392">
        <w:rPr>
          <w:rFonts w:ascii="Franklin Gothic Book" w:eastAsia="Franklin Gothic Book" w:hAnsi="Franklin Gothic Book" w:cs="Franklin Gothic Book"/>
        </w:rPr>
        <w:t>Student equity and access are central, including opportunities for working adults and those not currently engaged in formal education</w:t>
      </w:r>
      <w:r w:rsidR="150005E6" w:rsidRPr="54A5C392">
        <w:rPr>
          <w:rFonts w:ascii="Franklin Gothic Book" w:eastAsia="Franklin Gothic Book" w:hAnsi="Franklin Gothic Book" w:cs="Franklin Gothic Book"/>
        </w:rPr>
        <w:t>al programs</w:t>
      </w:r>
      <w:r w:rsidRPr="54A5C392">
        <w:rPr>
          <w:rFonts w:ascii="Franklin Gothic Book" w:eastAsia="Franklin Gothic Book" w:hAnsi="Franklin Gothic Book" w:cs="Franklin Gothic Book"/>
        </w:rPr>
        <w:t>. We seek to understand and respond to prospective students’ needs.</w:t>
      </w:r>
      <w:r>
        <w:br/>
      </w:r>
      <w:r>
        <w:br/>
      </w:r>
      <w:r w:rsidRPr="54A5C392">
        <w:rPr>
          <w:rFonts w:ascii="Franklin Gothic Book" w:eastAsia="Franklin Gothic Book" w:hAnsi="Franklin Gothic Book" w:cs="Franklin Gothic Book"/>
          <w:b/>
          <w:bCs/>
        </w:rPr>
        <w:t>Human-Centered Change</w:t>
      </w:r>
      <w:r w:rsidR="405DADE0" w:rsidRPr="54A5C392">
        <w:rPr>
          <w:rFonts w:ascii="Franklin Gothic Book" w:eastAsia="Franklin Gothic Book" w:hAnsi="Franklin Gothic Book" w:cs="Franklin Gothic Book"/>
        </w:rPr>
        <w:t xml:space="preserve">: </w:t>
      </w:r>
      <w:r w:rsidRPr="54A5C392">
        <w:rPr>
          <w:rFonts w:ascii="Franklin Gothic Book" w:eastAsia="Franklin Gothic Book" w:hAnsi="Franklin Gothic Book" w:cs="Franklin Gothic Book"/>
        </w:rPr>
        <w:t xml:space="preserve">Recognizing the complexity of system change, the </w:t>
      </w:r>
      <w:r w:rsidR="36BE743F" w:rsidRPr="54A5C392">
        <w:rPr>
          <w:rFonts w:ascii="Franklin Gothic Book" w:eastAsia="Franklin Gothic Book" w:hAnsi="Franklin Gothic Book" w:cs="Franklin Gothic Book"/>
        </w:rPr>
        <w:t xml:space="preserve">Task </w:t>
      </w:r>
      <w:r w:rsidR="6CAE61F2" w:rsidRPr="54A5C392">
        <w:rPr>
          <w:rFonts w:ascii="Franklin Gothic Book" w:eastAsia="Franklin Gothic Book" w:hAnsi="Franklin Gothic Book" w:cs="Franklin Gothic Book"/>
        </w:rPr>
        <w:t>Force</w:t>
      </w:r>
      <w:r w:rsidRPr="54A5C392">
        <w:rPr>
          <w:rFonts w:ascii="Franklin Gothic Book" w:eastAsia="Franklin Gothic Book" w:hAnsi="Franklin Gothic Book" w:cs="Franklin Gothic Book"/>
        </w:rPr>
        <w:t xml:space="preserve"> will employ human-centered design and equity frameworks to expand opportunity, interrupt inequality, and transform power.</w:t>
      </w:r>
      <w:r>
        <w:br/>
      </w:r>
      <w:r>
        <w:br/>
      </w:r>
      <w:r w:rsidRPr="54A5C392">
        <w:rPr>
          <w:rFonts w:ascii="Franklin Gothic Book" w:eastAsia="Franklin Gothic Book" w:hAnsi="Franklin Gothic Book" w:cs="Franklin Gothic Book"/>
          <w:b/>
          <w:bCs/>
        </w:rPr>
        <w:t>Innovation with Stewardship</w:t>
      </w:r>
      <w:r w:rsidR="405DADE0" w:rsidRPr="54A5C392">
        <w:rPr>
          <w:rFonts w:ascii="Franklin Gothic Book" w:eastAsia="Franklin Gothic Book" w:hAnsi="Franklin Gothic Book" w:cs="Franklin Gothic Book"/>
        </w:rPr>
        <w:t xml:space="preserve">: </w:t>
      </w:r>
      <w:r w:rsidRPr="54A5C392">
        <w:rPr>
          <w:rFonts w:ascii="Franklin Gothic Book" w:eastAsia="Franklin Gothic Book" w:hAnsi="Franklin Gothic Book" w:cs="Franklin Gothic Book"/>
        </w:rPr>
        <w:t>We will create space for innovation and new goals by moving beyond approaches that are no longer effective, while safeguarding colleges’ operational capacity, fiscal health, and adaptability to emerging needs.</w:t>
      </w:r>
      <w:r>
        <w:br/>
      </w:r>
      <w:r>
        <w:br/>
      </w:r>
      <w:r w:rsidRPr="54A5C392">
        <w:rPr>
          <w:rFonts w:ascii="Franklin Gothic Book" w:eastAsia="Franklin Gothic Book" w:hAnsi="Franklin Gothic Book" w:cs="Franklin Gothic Book"/>
          <w:b/>
          <w:bCs/>
        </w:rPr>
        <w:t>Ease of Entry</w:t>
      </w:r>
      <w:r w:rsidR="405DADE0" w:rsidRPr="54A5C392">
        <w:rPr>
          <w:rFonts w:ascii="Franklin Gothic Book" w:eastAsia="Franklin Gothic Book" w:hAnsi="Franklin Gothic Book" w:cs="Franklin Gothic Book"/>
        </w:rPr>
        <w:t xml:space="preserve">: </w:t>
      </w:r>
      <w:r w:rsidRPr="54A5C392">
        <w:rPr>
          <w:rFonts w:ascii="Franklin Gothic Book" w:eastAsia="Franklin Gothic Book" w:hAnsi="Franklin Gothic Book" w:cs="Franklin Gothic Book"/>
        </w:rPr>
        <w:t>Low barriers to continuing education are essential. Eliminating obstacles and maintaining simple, accessible entry points is a priority.</w:t>
      </w:r>
      <w:r>
        <w:br/>
      </w:r>
      <w:r>
        <w:br/>
      </w:r>
      <w:r w:rsidRPr="54A5C392">
        <w:rPr>
          <w:rFonts w:ascii="Franklin Gothic Book" w:eastAsia="Franklin Gothic Book" w:hAnsi="Franklin Gothic Book" w:cs="Franklin Gothic Book"/>
          <w:b/>
          <w:bCs/>
        </w:rPr>
        <w:t>Responsiveness</w:t>
      </w:r>
      <w:r w:rsidR="405DADE0" w:rsidRPr="54A5C392">
        <w:rPr>
          <w:rFonts w:ascii="Franklin Gothic Book" w:eastAsia="Franklin Gothic Book" w:hAnsi="Franklin Gothic Book" w:cs="Franklin Gothic Book"/>
        </w:rPr>
        <w:t xml:space="preserve">: </w:t>
      </w:r>
      <w:r w:rsidRPr="54A5C392">
        <w:rPr>
          <w:rFonts w:ascii="Franklin Gothic Book" w:eastAsia="Franklin Gothic Book" w:hAnsi="Franklin Gothic Book" w:cs="Franklin Gothic Book"/>
        </w:rPr>
        <w:t xml:space="preserve">While formalizing and elevating the visibility of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Pr="54A5C392">
        <w:rPr>
          <w:rFonts w:ascii="Franklin Gothic Book" w:eastAsia="Franklin Gothic Book" w:hAnsi="Franklin Gothic Book" w:cs="Franklin Gothic Book"/>
        </w:rPr>
        <w:t xml:space="preserve"> offerings, we will preserve the agility and responsiveness that enable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="32CB2388" w:rsidRPr="54A5C392">
        <w:rPr>
          <w:rFonts w:ascii="Franklin Gothic Book" w:eastAsia="Franklin Gothic Book" w:hAnsi="Franklin Gothic Book" w:cs="Franklin Gothic Book"/>
        </w:rPr>
        <w:t xml:space="preserve"> offerings</w:t>
      </w:r>
      <w:r w:rsidRPr="54A5C392">
        <w:rPr>
          <w:rFonts w:ascii="Franklin Gothic Book" w:eastAsia="Franklin Gothic Book" w:hAnsi="Franklin Gothic Book" w:cs="Franklin Gothic Book"/>
        </w:rPr>
        <w:t xml:space="preserve"> to meet immediate learner and employer needs.</w:t>
      </w:r>
      <w:r>
        <w:br/>
      </w:r>
      <w:r>
        <w:br/>
      </w:r>
      <w:r w:rsidRPr="54A5C392">
        <w:rPr>
          <w:rFonts w:ascii="Franklin Gothic Book" w:eastAsia="Franklin Gothic Book" w:hAnsi="Franklin Gothic Book" w:cs="Franklin Gothic Book"/>
          <w:b/>
          <w:bCs/>
        </w:rPr>
        <w:t>Quality and Integrity</w:t>
      </w:r>
      <w:r w:rsidR="405DADE0" w:rsidRPr="54A5C392">
        <w:rPr>
          <w:rFonts w:ascii="Franklin Gothic Book" w:eastAsia="Franklin Gothic Book" w:hAnsi="Franklin Gothic Book" w:cs="Franklin Gothic Book"/>
        </w:rPr>
        <w:t xml:space="preserve">: </w:t>
      </w:r>
      <w:r w:rsidRPr="54A5C392">
        <w:rPr>
          <w:rFonts w:ascii="Franklin Gothic Book" w:eastAsia="Franklin Gothic Book" w:hAnsi="Franklin Gothic Book" w:cs="Franklin Gothic Book"/>
        </w:rPr>
        <w:t xml:space="preserve">We will prioritize quality and consumer protection in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Pr="54A5C392">
        <w:rPr>
          <w:rFonts w:ascii="Franklin Gothic Book" w:eastAsia="Franklin Gothic Book" w:hAnsi="Franklin Gothic Book" w:cs="Franklin Gothic Book"/>
        </w:rPr>
        <w:t xml:space="preserve"> learning opportunities. Educational integrity will be upheld through student support, faculty engagement, and rigorous standards. </w:t>
      </w:r>
      <w:r w:rsidR="73BAE889" w:rsidRPr="54A5C392">
        <w:rPr>
          <w:rFonts w:ascii="Franklin Gothic Book" w:eastAsia="Franklin Gothic Book" w:hAnsi="Franklin Gothic Book" w:cs="Franklin Gothic Book"/>
        </w:rPr>
        <w:t>Recommendations</w:t>
      </w:r>
      <w:r w:rsidRPr="54A5C392">
        <w:rPr>
          <w:rFonts w:ascii="Franklin Gothic Book" w:eastAsia="Franklin Gothic Book" w:hAnsi="Franklin Gothic Book" w:cs="Franklin Gothic Book"/>
        </w:rPr>
        <w:t xml:space="preserve"> will be guided by a commitment to employment and earnings outcomes for learners</w:t>
      </w:r>
      <w:r w:rsidR="703E11DE" w:rsidRPr="54A5C392">
        <w:rPr>
          <w:rFonts w:ascii="Franklin Gothic Book" w:eastAsia="Franklin Gothic Book" w:hAnsi="Franklin Gothic Book" w:cs="Franklin Gothic Book"/>
        </w:rPr>
        <w:t xml:space="preserve">. </w:t>
      </w:r>
      <w:r>
        <w:br/>
      </w:r>
      <w:r>
        <w:br/>
      </w:r>
      <w:r w:rsidRPr="54A5C392">
        <w:rPr>
          <w:rFonts w:ascii="Franklin Gothic Book" w:eastAsia="Franklin Gothic Book" w:hAnsi="Franklin Gothic Book" w:cs="Franklin Gothic Book"/>
          <w:b/>
          <w:bCs/>
        </w:rPr>
        <w:t>Pathways and Lifelong Learning</w:t>
      </w:r>
      <w:r w:rsidR="405DADE0" w:rsidRPr="54A5C392">
        <w:rPr>
          <w:rFonts w:ascii="Franklin Gothic Book" w:eastAsia="Franklin Gothic Book" w:hAnsi="Franklin Gothic Book" w:cs="Franklin Gothic Book"/>
        </w:rPr>
        <w:t xml:space="preserve">: Recommendations by the </w:t>
      </w:r>
      <w:r w:rsidR="36BE743F" w:rsidRPr="54A5C392">
        <w:rPr>
          <w:rFonts w:ascii="Franklin Gothic Book" w:eastAsia="Franklin Gothic Book" w:hAnsi="Franklin Gothic Book" w:cs="Franklin Gothic Book"/>
        </w:rPr>
        <w:t xml:space="preserve">Task </w:t>
      </w:r>
      <w:r w:rsidR="1EF2D086" w:rsidRPr="54A5C392">
        <w:rPr>
          <w:rFonts w:ascii="Franklin Gothic Book" w:eastAsia="Franklin Gothic Book" w:hAnsi="Franklin Gothic Book" w:cs="Franklin Gothic Book"/>
        </w:rPr>
        <w:t>Force</w:t>
      </w:r>
      <w:r w:rsidR="405DADE0" w:rsidRPr="54A5C392">
        <w:rPr>
          <w:rFonts w:ascii="Franklin Gothic Book" w:eastAsia="Franklin Gothic Book" w:hAnsi="Franklin Gothic Book" w:cs="Franklin Gothic Book"/>
        </w:rPr>
        <w:t xml:space="preserve"> will address elements that create equitable and accessible opportunities, including </w:t>
      </w:r>
      <w:r w:rsidRPr="54A5C392">
        <w:rPr>
          <w:rFonts w:ascii="Franklin Gothic Book" w:eastAsia="Franklin Gothic Book" w:hAnsi="Franklin Gothic Book" w:cs="Franklin Gothic Book"/>
        </w:rPr>
        <w:t>clear on- and off-ramps, align</w:t>
      </w:r>
      <w:r w:rsidR="405DADE0" w:rsidRPr="54A5C392">
        <w:rPr>
          <w:rFonts w:ascii="Franklin Gothic Book" w:eastAsia="Franklin Gothic Book" w:hAnsi="Franklin Gothic Book" w:cs="Franklin Gothic Book"/>
        </w:rPr>
        <w:t>ment</w:t>
      </w:r>
      <w:r w:rsidRPr="54A5C392">
        <w:rPr>
          <w:rFonts w:ascii="Franklin Gothic Book" w:eastAsia="Franklin Gothic Book" w:hAnsi="Franklin Gothic Book" w:cs="Franklin Gothic Book"/>
        </w:rPr>
        <w:t xml:space="preserve"> to credit-bearing pathways, and </w:t>
      </w:r>
      <w:r w:rsidR="405DADE0" w:rsidRPr="54A5C392">
        <w:rPr>
          <w:rFonts w:ascii="Franklin Gothic Book" w:eastAsia="Franklin Gothic Book" w:hAnsi="Franklin Gothic Book" w:cs="Franklin Gothic Book"/>
        </w:rPr>
        <w:t>avoidance of</w:t>
      </w:r>
      <w:r w:rsidRPr="54A5C392">
        <w:rPr>
          <w:rFonts w:ascii="Franklin Gothic Book" w:eastAsia="Franklin Gothic Book" w:hAnsi="Franklin Gothic Book" w:cs="Franklin Gothic Book"/>
        </w:rPr>
        <w:t xml:space="preserve"> dead ends for learners.</w:t>
      </w:r>
      <w:r>
        <w:br/>
      </w:r>
      <w:r>
        <w:br/>
      </w:r>
      <w:r w:rsidRPr="54A5C392">
        <w:rPr>
          <w:rFonts w:ascii="Franklin Gothic Book" w:eastAsia="Franklin Gothic Book" w:hAnsi="Franklin Gothic Book" w:cs="Franklin Gothic Book"/>
          <w:b/>
          <w:bCs/>
        </w:rPr>
        <w:t>Data as a Strategic Asset</w:t>
      </w:r>
      <w:r w:rsidR="405DADE0" w:rsidRPr="54A5C392">
        <w:rPr>
          <w:rFonts w:ascii="Franklin Gothic Book" w:eastAsia="Franklin Gothic Book" w:hAnsi="Franklin Gothic Book" w:cs="Franklin Gothic Book"/>
          <w:b/>
          <w:bCs/>
        </w:rPr>
        <w:t>:</w:t>
      </w:r>
      <w:r w:rsidR="405DADE0" w:rsidRPr="54A5C392">
        <w:rPr>
          <w:rFonts w:ascii="Franklin Gothic Book" w:eastAsia="Franklin Gothic Book" w:hAnsi="Franklin Gothic Book" w:cs="Franklin Gothic Book"/>
        </w:rPr>
        <w:t xml:space="preserve"> </w:t>
      </w:r>
      <w:r w:rsidRPr="54A5C392">
        <w:rPr>
          <w:rFonts w:ascii="Franklin Gothic Book" w:eastAsia="Franklin Gothic Book" w:hAnsi="Franklin Gothic Book" w:cs="Franklin Gothic Book"/>
        </w:rPr>
        <w:t xml:space="preserve">Quality data will be managed with the highest standards of accuracy and validity to support understanding and advancement of </w:t>
      </w:r>
      <w:r w:rsidR="0A4EC39E" w:rsidRPr="54A5C392">
        <w:rPr>
          <w:rFonts w:ascii="Franklin Gothic Book" w:eastAsia="Franklin Gothic Book" w:hAnsi="Franklin Gothic Book" w:cs="Franklin Gothic Book"/>
        </w:rPr>
        <w:t>noncredit</w:t>
      </w:r>
      <w:r w:rsidRPr="54A5C392">
        <w:rPr>
          <w:rFonts w:ascii="Franklin Gothic Book" w:eastAsia="Franklin Gothic Book" w:hAnsi="Franklin Gothic Book" w:cs="Franklin Gothic Book"/>
        </w:rPr>
        <w:t xml:space="preserve"> education and training.</w:t>
      </w:r>
    </w:p>
    <w:bookmarkEnd w:id="1"/>
    <w:p w14:paraId="33D493EC" w14:textId="77777777" w:rsidR="0038479C" w:rsidRDefault="0038479C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</w:p>
    <w:p w14:paraId="3664C5B8" w14:textId="0D0A1806" w:rsidR="00EF7F8F" w:rsidRPr="00EF7F8F" w:rsidRDefault="48B494A0" w:rsidP="7D298549">
      <w:pPr>
        <w:pStyle w:val="Heading3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Alignment to the State Board’s Strategic Plan</w:t>
      </w:r>
      <w:r w:rsidR="1859BB2E" w:rsidRPr="7D298549">
        <w:rPr>
          <w:rFonts w:ascii="Franklin Gothic Book" w:eastAsia="Franklin Gothic Book" w:hAnsi="Franklin Gothic Book" w:cs="Franklin Gothic Book"/>
        </w:rPr>
        <w:t>, Existing Policies and Laws</w:t>
      </w:r>
    </w:p>
    <w:p w14:paraId="30E60E3A" w14:textId="59B904A2" w:rsidR="00EF7F8F" w:rsidRPr="00EF7F8F" w:rsidRDefault="1859BB2E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 xml:space="preserve">The </w:t>
      </w:r>
      <w:r w:rsidR="36BE743F" w:rsidRPr="54A5C392">
        <w:rPr>
          <w:rFonts w:ascii="Franklin Gothic Book" w:eastAsia="Franklin Gothic Book" w:hAnsi="Franklin Gothic Book" w:cs="Franklin Gothic Book"/>
        </w:rPr>
        <w:t xml:space="preserve">Task </w:t>
      </w:r>
      <w:r w:rsidR="1F165DA3" w:rsidRPr="54A5C392">
        <w:rPr>
          <w:rFonts w:ascii="Franklin Gothic Book" w:eastAsia="Franklin Gothic Book" w:hAnsi="Franklin Gothic Book" w:cs="Franklin Gothic Book"/>
        </w:rPr>
        <w:t>Force</w:t>
      </w:r>
      <w:r w:rsidRPr="54A5C392">
        <w:rPr>
          <w:rFonts w:ascii="Franklin Gothic Book" w:eastAsia="Franklin Gothic Book" w:hAnsi="Franklin Gothic Book" w:cs="Franklin Gothic Book"/>
        </w:rPr>
        <w:t xml:space="preserve"> will ensure that its work is on behalf of the Washington Community and Technical Colleges, aligning with and not violating:</w:t>
      </w:r>
    </w:p>
    <w:p w14:paraId="607428AD" w14:textId="488C9C7D" w:rsidR="00EF7F8F" w:rsidRPr="00EF7F8F" w:rsidRDefault="1859BB2E" w:rsidP="7D29854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 xml:space="preserve">State statutes and administrative code (RCW &amp; WAC) </w:t>
      </w:r>
    </w:p>
    <w:p w14:paraId="794806B3" w14:textId="7A7DC0BC" w:rsidR="00EF7F8F" w:rsidRPr="00EF7F8F" w:rsidRDefault="1859BB2E" w:rsidP="7D29854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State Board for Community and Technical Colleges (Strategic Plan, Policy Manual)</w:t>
      </w:r>
    </w:p>
    <w:p w14:paraId="7F7F8E6D" w14:textId="5140DEEF" w:rsidR="00EF7F8F" w:rsidRPr="00EF7F8F" w:rsidRDefault="1859BB2E" w:rsidP="7D29854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lastRenderedPageBreak/>
        <w:t>The bylaws and work plans of the Washington Association of Community and Technical Colleges (WACTC) its commissions and councils.</w:t>
      </w:r>
    </w:p>
    <w:p w14:paraId="658DD51E" w14:textId="77777777" w:rsidR="00EF7F8F" w:rsidRPr="00EF7F8F" w:rsidRDefault="1859BB2E" w:rsidP="7D298549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Federal regulation and policy.</w:t>
      </w:r>
    </w:p>
    <w:p w14:paraId="5DCC529A" w14:textId="7FB3AC4E" w:rsidR="00EF7F8F" w:rsidRPr="00EF7F8F" w:rsidRDefault="00EF7F8F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</w:p>
    <w:p w14:paraId="5301E435" w14:textId="45252DEA" w:rsidR="00EF7F8F" w:rsidRPr="00EF7F8F" w:rsidRDefault="7814FFEB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 xml:space="preserve">The scope outlined in this charter </w:t>
      </w:r>
      <w:r w:rsidR="79533D1E" w:rsidRPr="54A5C392">
        <w:rPr>
          <w:rFonts w:ascii="Franklin Gothic Book" w:eastAsia="Franklin Gothic Book" w:hAnsi="Franklin Gothic Book" w:cs="Franklin Gothic Book"/>
        </w:rPr>
        <w:t>is</w:t>
      </w:r>
      <w:r w:rsidRPr="54A5C392">
        <w:rPr>
          <w:rFonts w:ascii="Franklin Gothic Book" w:eastAsia="Franklin Gothic Book" w:hAnsi="Franklin Gothic Book" w:cs="Franklin Gothic Book"/>
        </w:rPr>
        <w:t xml:space="preserve"> aligned with the </w:t>
      </w:r>
      <w:r w:rsidR="5DCB23D2" w:rsidRPr="54A5C392">
        <w:rPr>
          <w:rFonts w:ascii="Franklin Gothic Book" w:eastAsia="Franklin Gothic Book" w:hAnsi="Franklin Gothic Book" w:cs="Franklin Gothic Book"/>
        </w:rPr>
        <w:t xml:space="preserve">State Board’s 2020-2030 Strategic Plan </w:t>
      </w:r>
      <w:r w:rsidR="405DADE0" w:rsidRPr="54A5C392">
        <w:rPr>
          <w:rFonts w:ascii="Franklin Gothic Book" w:eastAsia="Franklin Gothic Book" w:hAnsi="Franklin Gothic Book" w:cs="Franklin Gothic Book"/>
        </w:rPr>
        <w:t xml:space="preserve">vision and </w:t>
      </w:r>
      <w:r w:rsidR="32885E01" w:rsidRPr="54A5C392">
        <w:rPr>
          <w:rFonts w:ascii="Franklin Gothic Book" w:eastAsia="Franklin Gothic Book" w:hAnsi="Franklin Gothic Book" w:cs="Franklin Gothic Book"/>
        </w:rPr>
        <w:t>specific</w:t>
      </w:r>
      <w:r w:rsidRPr="54A5C392">
        <w:rPr>
          <w:rFonts w:ascii="Franklin Gothic Book" w:eastAsia="Franklin Gothic Book" w:hAnsi="Franklin Gothic Book" w:cs="Franklin Gothic Book"/>
        </w:rPr>
        <w:t xml:space="preserve"> goals and strategies</w:t>
      </w:r>
      <w:r w:rsidR="549FBC95" w:rsidRPr="54A5C392">
        <w:rPr>
          <w:rFonts w:ascii="Franklin Gothic Book" w:eastAsia="Franklin Gothic Book" w:hAnsi="Franklin Gothic Book" w:cs="Franklin Gothic Book"/>
        </w:rPr>
        <w:t xml:space="preserve"> listed below</w:t>
      </w:r>
      <w:r w:rsidRPr="54A5C392">
        <w:rPr>
          <w:rFonts w:ascii="Franklin Gothic Book" w:eastAsia="Franklin Gothic Book" w:hAnsi="Franklin Gothic Book" w:cs="Franklin Gothic Book"/>
        </w:rPr>
        <w:t>, as adopted by the State Board in June 2023:</w:t>
      </w:r>
    </w:p>
    <w:p w14:paraId="0A9CA038" w14:textId="77777777" w:rsidR="00EF7F8F" w:rsidRDefault="00EF7F8F" w:rsidP="7D298549">
      <w:pPr>
        <w:spacing w:after="0" w:line="240" w:lineRule="auto"/>
        <w:rPr>
          <w:rFonts w:ascii="Franklin Gothic Book" w:eastAsia="Franklin Gothic Book" w:hAnsi="Franklin Gothic Book" w:cs="Franklin Gothic Book"/>
          <w:color w:val="000000"/>
        </w:rPr>
      </w:pPr>
    </w:p>
    <w:p w14:paraId="090D5BDE" w14:textId="05EC8A56" w:rsidR="009439BE" w:rsidRDefault="1E892188" w:rsidP="7D298549">
      <w:pPr>
        <w:spacing w:after="0" w:line="240" w:lineRule="auto"/>
        <w:rPr>
          <w:rFonts w:ascii="Franklin Gothic Book" w:eastAsia="Franklin Gothic Book" w:hAnsi="Franklin Gothic Book" w:cs="Franklin Gothic Book"/>
          <w:color w:val="000000"/>
        </w:rPr>
      </w:pPr>
      <w:r w:rsidRPr="7D298549">
        <w:rPr>
          <w:rFonts w:ascii="Franklin Gothic Book" w:eastAsia="Franklin Gothic Book" w:hAnsi="Franklin Gothic Book" w:cs="Franklin Gothic Book"/>
        </w:rPr>
        <w:t xml:space="preserve">Vision: </w:t>
      </w:r>
      <w:r w:rsidR="405DADE0" w:rsidRPr="7D298549">
        <w:rPr>
          <w:rFonts w:ascii="Franklin Gothic Book" w:eastAsia="Franklin Gothic Book" w:hAnsi="Franklin Gothic Book" w:cs="Franklin Gothic Book"/>
        </w:rPr>
        <w:t>“Leading with racial equity, our colleges maximize student potential and transform lives within a culture of belonging that advances racial, social, and economic justice in service to our diverse communities.”</w:t>
      </w:r>
    </w:p>
    <w:p w14:paraId="10BB45B6" w14:textId="5BC42C3A" w:rsidR="4196186E" w:rsidRDefault="4196186E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</w:p>
    <w:p w14:paraId="2DB61268" w14:textId="7FAF96DC" w:rsidR="45904AC4" w:rsidRDefault="04E20CE0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Goals and Strategies:</w:t>
      </w:r>
    </w:p>
    <w:p w14:paraId="35BB4B74" w14:textId="77777777" w:rsidR="00EF7F8F" w:rsidRPr="00EF7F8F" w:rsidRDefault="48B494A0" w:rsidP="7D298549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eastAsia="Franklin Gothic Book" w:hAnsi="Franklin Gothic Book" w:cs="Franklin Gothic Book"/>
          <w:color w:val="000000"/>
        </w:rPr>
      </w:pPr>
      <w:r w:rsidRPr="7D298549">
        <w:rPr>
          <w:rFonts w:ascii="Franklin Gothic Book" w:eastAsia="Franklin Gothic Book" w:hAnsi="Franklin Gothic Book" w:cs="Franklin Gothic Book"/>
        </w:rPr>
        <w:t>Adult learner re-engagement (Goal 1)</w:t>
      </w:r>
    </w:p>
    <w:p w14:paraId="6D4A6313" w14:textId="77777777" w:rsidR="00EF7F8F" w:rsidRPr="00EF7F8F" w:rsidRDefault="48B494A0" w:rsidP="7D298549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eastAsia="Franklin Gothic Book" w:hAnsi="Franklin Gothic Book" w:cs="Franklin Gothic Book"/>
          <w:color w:val="000000"/>
        </w:rPr>
      </w:pPr>
      <w:r w:rsidRPr="7D298549">
        <w:rPr>
          <w:rFonts w:ascii="Franklin Gothic Book" w:eastAsia="Franklin Gothic Book" w:hAnsi="Franklin Gothic Book" w:cs="Franklin Gothic Book"/>
        </w:rPr>
        <w:t>Flexible, career relevant learning (Goal 3)</w:t>
      </w:r>
    </w:p>
    <w:p w14:paraId="59C7CA1C" w14:textId="75DA2AA6" w:rsidR="00EF7F8F" w:rsidRPr="00EF7F8F" w:rsidRDefault="48B494A0" w:rsidP="7D298549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eastAsia="Franklin Gothic Book" w:hAnsi="Franklin Gothic Book" w:cs="Franklin Gothic Book"/>
          <w:color w:val="000000"/>
        </w:rPr>
      </w:pPr>
      <w:r w:rsidRPr="7D298549">
        <w:rPr>
          <w:rFonts w:ascii="Franklin Gothic Book" w:eastAsia="Franklin Gothic Book" w:hAnsi="Franklin Gothic Book" w:cs="Franklin Gothic Book"/>
        </w:rPr>
        <w:t>Workforce resilience (</w:t>
      </w:r>
      <w:r w:rsidR="405DADE0" w:rsidRPr="7D298549">
        <w:rPr>
          <w:rFonts w:ascii="Franklin Gothic Book" w:eastAsia="Franklin Gothic Book" w:hAnsi="Franklin Gothic Book" w:cs="Franklin Gothic Book"/>
        </w:rPr>
        <w:t xml:space="preserve">Strategy </w:t>
      </w:r>
      <w:r w:rsidRPr="7D298549">
        <w:rPr>
          <w:rFonts w:ascii="Franklin Gothic Book" w:eastAsia="Franklin Gothic Book" w:hAnsi="Franklin Gothic Book" w:cs="Franklin Gothic Book"/>
        </w:rPr>
        <w:t>3.1.4)</w:t>
      </w:r>
    </w:p>
    <w:p w14:paraId="60A177E6" w14:textId="2250857C" w:rsidR="00EF7F8F" w:rsidRPr="00EF7F8F" w:rsidRDefault="48B494A0" w:rsidP="7D298549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eastAsia="Franklin Gothic Book" w:hAnsi="Franklin Gothic Book" w:cs="Franklin Gothic Book"/>
          <w:color w:val="000000"/>
        </w:rPr>
      </w:pPr>
      <w:r w:rsidRPr="7D298549">
        <w:rPr>
          <w:rFonts w:ascii="Franklin Gothic Book" w:eastAsia="Franklin Gothic Book" w:hAnsi="Franklin Gothic Book" w:cs="Franklin Gothic Book"/>
        </w:rPr>
        <w:t>Pathways to degree attainment (</w:t>
      </w:r>
      <w:r w:rsidR="405DADE0" w:rsidRPr="7D298549">
        <w:rPr>
          <w:rFonts w:ascii="Franklin Gothic Book" w:eastAsia="Franklin Gothic Book" w:hAnsi="Franklin Gothic Book" w:cs="Franklin Gothic Book"/>
        </w:rPr>
        <w:t xml:space="preserve">Strategy </w:t>
      </w:r>
      <w:r w:rsidRPr="7D298549">
        <w:rPr>
          <w:rFonts w:ascii="Franklin Gothic Book" w:eastAsia="Franklin Gothic Book" w:hAnsi="Franklin Gothic Book" w:cs="Franklin Gothic Book"/>
        </w:rPr>
        <w:t>3.1.6)</w:t>
      </w:r>
    </w:p>
    <w:p w14:paraId="2D81A9B1" w14:textId="3AC14B3C" w:rsidR="00EF7F8F" w:rsidRPr="00EF7F8F" w:rsidRDefault="48B494A0" w:rsidP="7D298549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eastAsia="Franklin Gothic Book" w:hAnsi="Franklin Gothic Book" w:cs="Franklin Gothic Book"/>
          <w:color w:val="000000"/>
        </w:rPr>
      </w:pPr>
      <w:r w:rsidRPr="7D298549">
        <w:rPr>
          <w:rFonts w:ascii="Franklin Gothic Book" w:eastAsia="Franklin Gothic Book" w:hAnsi="Franklin Gothic Book" w:cs="Franklin Gothic Book"/>
        </w:rPr>
        <w:t>Fast-track credentials (</w:t>
      </w:r>
      <w:r w:rsidR="001AB72C" w:rsidRPr="7D298549">
        <w:rPr>
          <w:rFonts w:ascii="Franklin Gothic Book" w:eastAsia="Franklin Gothic Book" w:hAnsi="Franklin Gothic Book" w:cs="Franklin Gothic Book"/>
        </w:rPr>
        <w:t xml:space="preserve">Objective </w:t>
      </w:r>
      <w:r w:rsidRPr="7D298549">
        <w:rPr>
          <w:rFonts w:ascii="Franklin Gothic Book" w:eastAsia="Franklin Gothic Book" w:hAnsi="Franklin Gothic Book" w:cs="Franklin Gothic Book"/>
        </w:rPr>
        <w:t>3.2)</w:t>
      </w:r>
    </w:p>
    <w:p w14:paraId="6C9E9919" w14:textId="01874C76" w:rsidR="00A8223F" w:rsidRPr="00805738" w:rsidRDefault="020AC4D1" w:rsidP="7D298549">
      <w:pPr>
        <w:pStyle w:val="Heading3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Timeline</w:t>
      </w:r>
    </w:p>
    <w:p w14:paraId="7E433945" w14:textId="5FAC9383" w:rsidR="00E9405A" w:rsidRDefault="13AE9360" w:rsidP="7D298549">
      <w:pPr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 xml:space="preserve">An 8-quarter timeline, including summers, is </w:t>
      </w:r>
      <w:r w:rsidR="703E11DE" w:rsidRPr="7D298549">
        <w:rPr>
          <w:rFonts w:ascii="Franklin Gothic Book" w:eastAsia="Franklin Gothic Book" w:hAnsi="Franklin Gothic Book" w:cs="Franklin Gothic Book"/>
        </w:rPr>
        <w:t>anticipated, beginning</w:t>
      </w:r>
      <w:r w:rsidRPr="7D298549">
        <w:rPr>
          <w:rFonts w:ascii="Franklin Gothic Book" w:eastAsia="Franklin Gothic Book" w:hAnsi="Franklin Gothic Book" w:cs="Franklin Gothic Book"/>
        </w:rPr>
        <w:t xml:space="preserve"> </w:t>
      </w:r>
      <w:r w:rsidR="020AC4D1" w:rsidRPr="7D298549">
        <w:rPr>
          <w:rFonts w:ascii="Franklin Gothic Book" w:eastAsia="Franklin Gothic Book" w:hAnsi="Franklin Gothic Book" w:cs="Franklin Gothic Book"/>
        </w:rPr>
        <w:t>Summer 2025</w:t>
      </w:r>
      <w:r w:rsidRPr="7D298549">
        <w:rPr>
          <w:rFonts w:ascii="Franklin Gothic Book" w:eastAsia="Franklin Gothic Book" w:hAnsi="Franklin Gothic Book" w:cs="Franklin Gothic Book"/>
        </w:rPr>
        <w:t xml:space="preserve"> and </w:t>
      </w:r>
      <w:r w:rsidR="020AC4D1" w:rsidRPr="7D298549">
        <w:rPr>
          <w:rFonts w:ascii="Franklin Gothic Book" w:eastAsia="Franklin Gothic Book" w:hAnsi="Franklin Gothic Book" w:cs="Franklin Gothic Book"/>
        </w:rPr>
        <w:t>conclud</w:t>
      </w:r>
      <w:r w:rsidR="703E11DE" w:rsidRPr="7D298549">
        <w:rPr>
          <w:rFonts w:ascii="Franklin Gothic Book" w:eastAsia="Franklin Gothic Book" w:hAnsi="Franklin Gothic Book" w:cs="Franklin Gothic Book"/>
        </w:rPr>
        <w:t>ing</w:t>
      </w:r>
      <w:r w:rsidR="020AC4D1" w:rsidRPr="7D298549">
        <w:rPr>
          <w:rFonts w:ascii="Franklin Gothic Book" w:eastAsia="Franklin Gothic Book" w:hAnsi="Franklin Gothic Book" w:cs="Franklin Gothic Book"/>
        </w:rPr>
        <w:t xml:space="preserve"> </w:t>
      </w:r>
      <w:r w:rsidRPr="7D298549">
        <w:rPr>
          <w:rFonts w:ascii="Franklin Gothic Book" w:eastAsia="Franklin Gothic Book" w:hAnsi="Franklin Gothic Book" w:cs="Franklin Gothic Book"/>
        </w:rPr>
        <w:t xml:space="preserve">in </w:t>
      </w:r>
      <w:r w:rsidR="020AC4D1" w:rsidRPr="7D298549">
        <w:rPr>
          <w:rFonts w:ascii="Franklin Gothic Book" w:eastAsia="Franklin Gothic Book" w:hAnsi="Franklin Gothic Book" w:cs="Franklin Gothic Book"/>
        </w:rPr>
        <w:t>Spring 2027</w:t>
      </w:r>
      <w:r w:rsidR="771F7BBC" w:rsidRPr="7D298549">
        <w:rPr>
          <w:rFonts w:ascii="Franklin Gothic Book" w:eastAsia="Franklin Gothic Book" w:hAnsi="Franklin Gothic Book" w:cs="Franklin Gothic Book"/>
        </w:rPr>
        <w:t xml:space="preserve">. </w:t>
      </w:r>
    </w:p>
    <w:p w14:paraId="3A26A4E3" w14:textId="6E4DCCD1" w:rsidR="00352259" w:rsidRDefault="673A6CD4" w:rsidP="7D298549">
      <w:pPr>
        <w:pStyle w:val="Heading3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Governance</w:t>
      </w:r>
    </w:p>
    <w:p w14:paraId="4C17EA5A" w14:textId="44D912E4" w:rsidR="00162903" w:rsidRDefault="673A6CD4" w:rsidP="7D298549">
      <w:pPr>
        <w:pStyle w:val="Heading4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Roles and Responsibilities</w:t>
      </w:r>
    </w:p>
    <w:p w14:paraId="4C86577C" w14:textId="4C5E1B4C" w:rsidR="00162903" w:rsidRDefault="36BE743F" w:rsidP="7D298549">
      <w:pPr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 xml:space="preserve">Task </w:t>
      </w:r>
      <w:r w:rsidR="656C5602" w:rsidRPr="54A5C392">
        <w:rPr>
          <w:rFonts w:ascii="Franklin Gothic Book" w:eastAsia="Franklin Gothic Book" w:hAnsi="Franklin Gothic Book" w:cs="Franklin Gothic Book"/>
        </w:rPr>
        <w:t>Force</w:t>
      </w:r>
      <w:r w:rsidR="673A6CD4" w:rsidRPr="54A5C392">
        <w:rPr>
          <w:rFonts w:ascii="Franklin Gothic Book" w:eastAsia="Franklin Gothic Book" w:hAnsi="Franklin Gothic Book" w:cs="Franklin Gothic Book"/>
        </w:rPr>
        <w:t xml:space="preserve"> </w:t>
      </w:r>
      <w:r w:rsidR="1658668E" w:rsidRPr="54A5C392">
        <w:rPr>
          <w:rFonts w:ascii="Franklin Gothic Book" w:eastAsia="Franklin Gothic Book" w:hAnsi="Franklin Gothic Book" w:cs="Franklin Gothic Book"/>
        </w:rPr>
        <w:t>m</w:t>
      </w:r>
      <w:r w:rsidR="673A6CD4" w:rsidRPr="54A5C392">
        <w:rPr>
          <w:rFonts w:ascii="Franklin Gothic Book" w:eastAsia="Franklin Gothic Book" w:hAnsi="Franklin Gothic Book" w:cs="Franklin Gothic Book"/>
        </w:rPr>
        <w:t>embers will attend meetings consistently, contribute sub-committee leadership and expert-level analysis, gather institutional information and insights, and facilitate access to councils and commissions.</w:t>
      </w:r>
    </w:p>
    <w:p w14:paraId="58D71340" w14:textId="4EFFF1D2" w:rsidR="00162903" w:rsidRDefault="36BE743F" w:rsidP="7D298549">
      <w:pPr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 xml:space="preserve">Task </w:t>
      </w:r>
      <w:r w:rsidR="25AC014C" w:rsidRPr="54A5C392">
        <w:rPr>
          <w:rFonts w:ascii="Franklin Gothic Book" w:eastAsia="Franklin Gothic Book" w:hAnsi="Franklin Gothic Book" w:cs="Franklin Gothic Book"/>
        </w:rPr>
        <w:t>Force</w:t>
      </w:r>
      <w:r w:rsidR="355A04E6" w:rsidRPr="54A5C392">
        <w:rPr>
          <w:rFonts w:ascii="Franklin Gothic Book" w:eastAsia="Franklin Gothic Book" w:hAnsi="Franklin Gothic Book" w:cs="Franklin Gothic Book"/>
        </w:rPr>
        <w:t xml:space="preserve"> </w:t>
      </w:r>
      <w:r w:rsidR="001AB72C" w:rsidRPr="54A5C392">
        <w:rPr>
          <w:rFonts w:ascii="Franklin Gothic Book" w:eastAsia="Franklin Gothic Book" w:hAnsi="Franklin Gothic Book" w:cs="Franklin Gothic Book"/>
        </w:rPr>
        <w:t>members may use</w:t>
      </w:r>
      <w:r w:rsidR="355A04E6" w:rsidRPr="54A5C392">
        <w:rPr>
          <w:rFonts w:ascii="Franklin Gothic Book" w:eastAsia="Franklin Gothic Book" w:hAnsi="Franklin Gothic Book" w:cs="Franklin Gothic Book"/>
        </w:rPr>
        <w:t xml:space="preserve"> substitutes and proxies</w:t>
      </w:r>
      <w:r w:rsidR="001AB72C" w:rsidRPr="54A5C392">
        <w:rPr>
          <w:rFonts w:ascii="Franklin Gothic Book" w:eastAsia="Franklin Gothic Book" w:hAnsi="Franklin Gothic Book" w:cs="Franklin Gothic Book"/>
        </w:rPr>
        <w:t xml:space="preserve"> in situations where they will be absent</w:t>
      </w:r>
      <w:r w:rsidR="355A04E6" w:rsidRPr="54A5C392">
        <w:rPr>
          <w:rFonts w:ascii="Franklin Gothic Book" w:eastAsia="Franklin Gothic Book" w:hAnsi="Franklin Gothic Book" w:cs="Franklin Gothic Book"/>
        </w:rPr>
        <w:t>.</w:t>
      </w:r>
      <w:r w:rsidR="001AB72C" w:rsidRPr="54A5C392">
        <w:rPr>
          <w:rFonts w:ascii="Franklin Gothic Book" w:eastAsia="Franklin Gothic Book" w:hAnsi="Franklin Gothic Book" w:cs="Franklin Gothic Book"/>
        </w:rPr>
        <w:t xml:space="preserve"> Substitutes should, as much as is practicable, represent the same system position or role as the member</w:t>
      </w:r>
      <w:r w:rsidR="2CD88B12" w:rsidRPr="54A5C392">
        <w:rPr>
          <w:rFonts w:ascii="Franklin Gothic Book" w:eastAsia="Franklin Gothic Book" w:hAnsi="Franklin Gothic Book" w:cs="Franklin Gothic Book"/>
        </w:rPr>
        <w:t>s they fill in for</w:t>
      </w:r>
      <w:r w:rsidR="001AB72C" w:rsidRPr="54A5C392">
        <w:rPr>
          <w:rFonts w:ascii="Franklin Gothic Book" w:eastAsia="Franklin Gothic Book" w:hAnsi="Franklin Gothic Book" w:cs="Franklin Gothic Book"/>
        </w:rPr>
        <w:t>. Drawing upon peer members of councils or commissions for substitutes is encouraged.</w:t>
      </w:r>
      <w:r w:rsidR="355A04E6" w:rsidRPr="54A5C392">
        <w:rPr>
          <w:rFonts w:ascii="Franklin Gothic Book" w:eastAsia="Franklin Gothic Book" w:hAnsi="Franklin Gothic Book" w:cs="Franklin Gothic Book"/>
        </w:rPr>
        <w:t xml:space="preserve"> </w:t>
      </w:r>
    </w:p>
    <w:p w14:paraId="4E0A6AF8" w14:textId="3BC3A43B" w:rsidR="00162903" w:rsidRDefault="673A6CD4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54A5C392">
        <w:rPr>
          <w:rFonts w:ascii="Franklin Gothic Book" w:eastAsia="Franklin Gothic Book" w:hAnsi="Franklin Gothic Book" w:cs="Franklin Gothic Book"/>
        </w:rPr>
        <w:t xml:space="preserve">The </w:t>
      </w:r>
      <w:r w:rsidR="36BE743F" w:rsidRPr="54A5C392">
        <w:rPr>
          <w:rFonts w:ascii="Franklin Gothic Book" w:eastAsia="Franklin Gothic Book" w:hAnsi="Franklin Gothic Book" w:cs="Franklin Gothic Book"/>
        </w:rPr>
        <w:t xml:space="preserve">Task </w:t>
      </w:r>
      <w:r w:rsidR="25F21F41" w:rsidRPr="54A5C392">
        <w:rPr>
          <w:rFonts w:ascii="Franklin Gothic Book" w:eastAsia="Franklin Gothic Book" w:hAnsi="Franklin Gothic Book" w:cs="Franklin Gothic Book"/>
        </w:rPr>
        <w:t>Force</w:t>
      </w:r>
      <w:r w:rsidRPr="54A5C392">
        <w:rPr>
          <w:rFonts w:ascii="Franklin Gothic Book" w:eastAsia="Franklin Gothic Book" w:hAnsi="Franklin Gothic Book" w:cs="Franklin Gothic Book"/>
        </w:rPr>
        <w:t xml:space="preserve"> will identify opportunities for deeper engagement with system councils and commissions (forums, work sessions, surveys, etc.) to both gather essential information and to socialize work products. Timely access to </w:t>
      </w:r>
      <w:proofErr w:type="gramStart"/>
      <w:r w:rsidRPr="54A5C392">
        <w:rPr>
          <w:rFonts w:ascii="Franklin Gothic Book" w:eastAsia="Franklin Gothic Book" w:hAnsi="Franklin Gothic Book" w:cs="Franklin Gothic Book"/>
        </w:rPr>
        <w:t>system council</w:t>
      </w:r>
      <w:proofErr w:type="gramEnd"/>
      <w:r w:rsidRPr="54A5C392">
        <w:rPr>
          <w:rFonts w:ascii="Franklin Gothic Book" w:eastAsia="Franklin Gothic Book" w:hAnsi="Franklin Gothic Book" w:cs="Franklin Gothic Book"/>
        </w:rPr>
        <w:t xml:space="preserve"> and commission agendas for input and socializing of work products will be facilitated by the co-sponsors and supported by </w:t>
      </w:r>
      <w:r w:rsidR="7DE991CB" w:rsidRPr="54A5C392">
        <w:rPr>
          <w:rFonts w:ascii="Franklin Gothic Book" w:eastAsia="Franklin Gothic Book" w:hAnsi="Franklin Gothic Book" w:cs="Franklin Gothic Book"/>
        </w:rPr>
        <w:t>m</w:t>
      </w:r>
      <w:r w:rsidRPr="54A5C392">
        <w:rPr>
          <w:rFonts w:ascii="Franklin Gothic Book" w:eastAsia="Franklin Gothic Book" w:hAnsi="Franklin Gothic Book" w:cs="Franklin Gothic Book"/>
        </w:rPr>
        <w:t xml:space="preserve">embers representing specific system commissions and councils. </w:t>
      </w:r>
    </w:p>
    <w:p w14:paraId="00B69B71" w14:textId="77777777" w:rsidR="00162903" w:rsidRDefault="00162903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</w:p>
    <w:p w14:paraId="7875EE60" w14:textId="77777777" w:rsidR="00162903" w:rsidRDefault="673A6CD4" w:rsidP="7D298549">
      <w:pPr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 xml:space="preserve">SBCTC staff, including the co-managers, lead, and subject matter experts will contribute professional staffing (minutes, record-keeping) and group facilitation, coordination, and analysis. </w:t>
      </w:r>
    </w:p>
    <w:p w14:paraId="5F46DF25" w14:textId="105A9ADA" w:rsidR="00162903" w:rsidRDefault="673A6CD4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 xml:space="preserve">SBCTC staff and </w:t>
      </w:r>
      <w:r w:rsidR="40CB980A" w:rsidRPr="7D298549">
        <w:rPr>
          <w:rFonts w:ascii="Franklin Gothic Book" w:eastAsia="Franklin Gothic Book" w:hAnsi="Franklin Gothic Book" w:cs="Franklin Gothic Book"/>
        </w:rPr>
        <w:t>m</w:t>
      </w:r>
      <w:r w:rsidRPr="7D298549">
        <w:rPr>
          <w:rFonts w:ascii="Franklin Gothic Book" w:eastAsia="Franklin Gothic Book" w:hAnsi="Franklin Gothic Book" w:cs="Franklin Gothic Book"/>
        </w:rPr>
        <w:t>embers who attend subcommittee meetings and engagement events are responsible for carrying information, feedback and action items to the co-sponsors, co-managers, and project lead.</w:t>
      </w:r>
    </w:p>
    <w:p w14:paraId="5F27BE78" w14:textId="77777777" w:rsidR="0038479C" w:rsidRDefault="0038479C" w:rsidP="7D298549">
      <w:pPr>
        <w:spacing w:after="0" w:line="240" w:lineRule="auto"/>
        <w:rPr>
          <w:rFonts w:ascii="Franklin Gothic Book" w:eastAsia="Franklin Gothic Book" w:hAnsi="Franklin Gothic Book" w:cs="Franklin Gothic Book"/>
        </w:rPr>
      </w:pPr>
    </w:p>
    <w:p w14:paraId="1E2833C0" w14:textId="77777777" w:rsidR="00162903" w:rsidRDefault="673A6CD4" w:rsidP="7D298549">
      <w:pPr>
        <w:pStyle w:val="Heading4"/>
        <w:rPr>
          <w:rFonts w:ascii="Franklin Gothic Book" w:eastAsia="Franklin Gothic Book" w:hAnsi="Franklin Gothic Book" w:cs="Franklin Gothic Book"/>
        </w:rPr>
      </w:pPr>
      <w:r w:rsidRPr="7D298549">
        <w:rPr>
          <w:rFonts w:ascii="Franklin Gothic Book" w:eastAsia="Franklin Gothic Book" w:hAnsi="Franklin Gothic Book" w:cs="Franklin Gothic Book"/>
        </w:rPr>
        <w:t>Decision Making</w:t>
      </w:r>
    </w:p>
    <w:p w14:paraId="2863F7DA" w14:textId="0CB8ACD3" w:rsidR="00162903" w:rsidRPr="00162903" w:rsidRDefault="001AB72C" w:rsidP="7D298549">
      <w:pPr>
        <w:rPr>
          <w:rFonts w:ascii="Franklin Gothic Book" w:eastAsia="Franklin Gothic Book" w:hAnsi="Franklin Gothic Book" w:cs="Franklin Gothic Book"/>
        </w:rPr>
      </w:pPr>
      <w:bookmarkStart w:id="2" w:name="_Int_6h74T8fj"/>
      <w:proofErr w:type="gramStart"/>
      <w:r w:rsidRPr="54A5C392">
        <w:rPr>
          <w:rFonts w:ascii="Franklin Gothic Book" w:eastAsia="Franklin Gothic Book" w:hAnsi="Franklin Gothic Book" w:cs="Franklin Gothic Book"/>
        </w:rPr>
        <w:t>General c</w:t>
      </w:r>
      <w:r w:rsidR="355A04E6" w:rsidRPr="54A5C392">
        <w:rPr>
          <w:rFonts w:ascii="Franklin Gothic Book" w:eastAsia="Franklin Gothic Book" w:hAnsi="Franklin Gothic Book" w:cs="Franklin Gothic Book"/>
        </w:rPr>
        <w:t>onsensus</w:t>
      </w:r>
      <w:bookmarkEnd w:id="2"/>
      <w:proofErr w:type="gramEnd"/>
      <w:r w:rsidR="355A04E6" w:rsidRPr="54A5C392">
        <w:rPr>
          <w:rFonts w:ascii="Franklin Gothic Book" w:eastAsia="Franklin Gothic Book" w:hAnsi="Franklin Gothic Book" w:cs="Franklin Gothic Book"/>
        </w:rPr>
        <w:t xml:space="preserve"> is the goal in </w:t>
      </w:r>
      <w:r w:rsidR="36BE743F" w:rsidRPr="54A5C392">
        <w:rPr>
          <w:rFonts w:ascii="Franklin Gothic Book" w:eastAsia="Franklin Gothic Book" w:hAnsi="Franklin Gothic Book" w:cs="Franklin Gothic Book"/>
        </w:rPr>
        <w:t xml:space="preserve">Task </w:t>
      </w:r>
      <w:r w:rsidR="61E096FD" w:rsidRPr="54A5C392">
        <w:rPr>
          <w:rFonts w:ascii="Franklin Gothic Book" w:eastAsia="Franklin Gothic Book" w:hAnsi="Franklin Gothic Book" w:cs="Franklin Gothic Book"/>
        </w:rPr>
        <w:t>Force</w:t>
      </w:r>
      <w:r w:rsidR="355A04E6" w:rsidRPr="54A5C392">
        <w:rPr>
          <w:rFonts w:ascii="Franklin Gothic Book" w:eastAsia="Franklin Gothic Book" w:hAnsi="Franklin Gothic Book" w:cs="Franklin Gothic Book"/>
        </w:rPr>
        <w:t xml:space="preserve"> recommendations. </w:t>
      </w:r>
    </w:p>
    <w:sectPr w:rsidR="00162903" w:rsidRPr="00162903" w:rsidSect="00ED0708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FB7E" w14:textId="77777777" w:rsidR="00544A9F" w:rsidRDefault="00544A9F" w:rsidP="00F3028C">
      <w:pPr>
        <w:spacing w:after="0" w:line="240" w:lineRule="auto"/>
      </w:pPr>
      <w:r>
        <w:separator/>
      </w:r>
    </w:p>
  </w:endnote>
  <w:endnote w:type="continuationSeparator" w:id="0">
    <w:p w14:paraId="55020FEF" w14:textId="77777777" w:rsidR="00544A9F" w:rsidRDefault="00544A9F" w:rsidP="00F3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CBDE" w14:textId="533E22CE" w:rsidR="002451AF" w:rsidRDefault="00000000">
    <w:pPr>
      <w:pStyle w:val="Footer"/>
      <w:jc w:val="right"/>
    </w:pPr>
    <w:sdt>
      <w:sdtPr>
        <w:id w:val="5522099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51AF">
          <w:fldChar w:fldCharType="begin"/>
        </w:r>
        <w:r w:rsidR="002451AF">
          <w:instrText xml:space="preserve"> PAGE   \* MERGEFORMAT </w:instrText>
        </w:r>
        <w:r w:rsidR="002451AF">
          <w:fldChar w:fldCharType="separate"/>
        </w:r>
        <w:r w:rsidR="002451AF">
          <w:rPr>
            <w:noProof/>
          </w:rPr>
          <w:t>2</w:t>
        </w:r>
        <w:r w:rsidR="002451AF">
          <w:rPr>
            <w:noProof/>
          </w:rPr>
          <w:fldChar w:fldCharType="end"/>
        </w:r>
      </w:sdtContent>
    </w:sdt>
  </w:p>
  <w:p w14:paraId="2538221D" w14:textId="77777777" w:rsidR="002451AF" w:rsidRDefault="00245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54EB" w14:textId="77777777" w:rsidR="00544A9F" w:rsidRDefault="00544A9F" w:rsidP="00F3028C">
      <w:pPr>
        <w:spacing w:after="0" w:line="240" w:lineRule="auto"/>
      </w:pPr>
      <w:r>
        <w:separator/>
      </w:r>
    </w:p>
  </w:footnote>
  <w:footnote w:type="continuationSeparator" w:id="0">
    <w:p w14:paraId="406E2A40" w14:textId="77777777" w:rsidR="00544A9F" w:rsidRDefault="00544A9F" w:rsidP="00F3028C">
      <w:pPr>
        <w:spacing w:after="0" w:line="240" w:lineRule="auto"/>
      </w:pPr>
      <w:r>
        <w:continuationSeparator/>
      </w:r>
    </w:p>
  </w:footnote>
  <w:footnote w:id="1">
    <w:p w14:paraId="2D1EA35F" w14:textId="77777777" w:rsidR="006A2F80" w:rsidRPr="00F95AB0" w:rsidRDefault="006A2F80" w:rsidP="006A2F80">
      <w:pPr>
        <w:pStyle w:val="FootnoteText"/>
        <w:rPr>
          <w:sz w:val="18"/>
          <w:szCs w:val="18"/>
        </w:rPr>
      </w:pPr>
      <w:r w:rsidRPr="00F95AB0">
        <w:rPr>
          <w:rStyle w:val="FootnoteReference"/>
          <w:sz w:val="18"/>
          <w:szCs w:val="18"/>
        </w:rPr>
        <w:footnoteRef/>
      </w:r>
      <w:r w:rsidRPr="00F95AB0">
        <w:rPr>
          <w:sz w:val="18"/>
          <w:szCs w:val="18"/>
        </w:rPr>
        <w:t xml:space="preserve"> </w:t>
      </w:r>
      <w:hyperlink r:id="rId1" w:anchor=":~:text=Well%20before%20COVID%2D19%2C%20politicians,old%20(authors'%20calculations)" w:history="1">
        <w:r w:rsidRPr="00F95AB0">
          <w:rPr>
            <w:rStyle w:val="Hyperlink"/>
            <w:sz w:val="18"/>
            <w:szCs w:val="18"/>
          </w:rPr>
          <w:t>https://www.brookings.edu/articles/noncredit-workforce-training-programs-are-very-popular-we-know-next-to-nothing-about-them/#:~:text=Well%20before%20COVID%2D19%2C%20politicians,old%20(authors'%20calculations)</w:t>
        </w:r>
      </w:hyperlink>
      <w:r w:rsidRPr="00F95AB0">
        <w:rPr>
          <w:sz w:val="18"/>
          <w:szCs w:val="18"/>
        </w:rPr>
        <w:t xml:space="preserve"> and </w:t>
      </w:r>
      <w:hyperlink r:id="rId2" w:history="1">
        <w:r w:rsidRPr="00F95AB0">
          <w:rPr>
            <w:rStyle w:val="Hyperlink"/>
            <w:sz w:val="18"/>
            <w:szCs w:val="18"/>
          </w:rPr>
          <w:t>https://www.aacc.nche.edu/research-trends/fast-facts/</w:t>
        </w:r>
      </w:hyperlink>
      <w:r w:rsidRPr="00F95AB0">
        <w:rPr>
          <w:sz w:val="18"/>
          <w:szCs w:val="18"/>
        </w:rPr>
        <w:t xml:space="preserve"> </w:t>
      </w:r>
    </w:p>
  </w:footnote>
  <w:footnote w:id="2">
    <w:p w14:paraId="0B6E3F6B" w14:textId="77777777" w:rsidR="006A2F80" w:rsidRPr="00F95AB0" w:rsidRDefault="006A2F80" w:rsidP="006A2F80">
      <w:pPr>
        <w:pStyle w:val="FootnoteText"/>
        <w:rPr>
          <w:sz w:val="18"/>
          <w:szCs w:val="18"/>
        </w:rPr>
      </w:pPr>
      <w:r w:rsidRPr="00F95AB0">
        <w:rPr>
          <w:rStyle w:val="FootnoteReference"/>
          <w:sz w:val="18"/>
          <w:szCs w:val="18"/>
        </w:rPr>
        <w:footnoteRef/>
      </w:r>
      <w:r w:rsidRPr="00F95AB0">
        <w:rPr>
          <w:sz w:val="18"/>
          <w:szCs w:val="18"/>
        </w:rPr>
        <w:t xml:space="preserve"> </w:t>
      </w:r>
      <w:hyperlink r:id="rId3" w:history="1">
        <w:r w:rsidRPr="00F95AB0">
          <w:rPr>
            <w:rStyle w:val="Hyperlink"/>
            <w:sz w:val="18"/>
            <w:szCs w:val="18"/>
          </w:rPr>
          <w:t>https://www.aacc.nche.edu/research-trends/fast-facts/</w:t>
        </w:r>
      </w:hyperlink>
      <w:r w:rsidRPr="00F95AB0">
        <w:rPr>
          <w:sz w:val="18"/>
          <w:szCs w:val="18"/>
        </w:rPr>
        <w:t xml:space="preserve"> </w:t>
      </w:r>
    </w:p>
  </w:footnote>
  <w:footnote w:id="3">
    <w:p w14:paraId="0F426923" w14:textId="77777777" w:rsidR="00332B29" w:rsidRPr="00F95AB0" w:rsidRDefault="00332B29" w:rsidP="00332B29">
      <w:pPr>
        <w:pStyle w:val="FootnoteText"/>
        <w:rPr>
          <w:sz w:val="18"/>
          <w:szCs w:val="18"/>
        </w:rPr>
      </w:pPr>
      <w:r w:rsidRPr="00F95AB0">
        <w:rPr>
          <w:rStyle w:val="FootnoteReference"/>
          <w:sz w:val="18"/>
          <w:szCs w:val="18"/>
        </w:rPr>
        <w:footnoteRef/>
      </w:r>
      <w:r w:rsidRPr="00F95AB0">
        <w:rPr>
          <w:sz w:val="18"/>
          <w:szCs w:val="18"/>
        </w:rPr>
        <w:t xml:space="preserve"> </w:t>
      </w:r>
      <w:hyperlink r:id="rId4" w:history="1">
        <w:r w:rsidRPr="00F95AB0">
          <w:rPr>
            <w:rStyle w:val="Hyperlink"/>
            <w:sz w:val="18"/>
            <w:szCs w:val="18"/>
          </w:rPr>
          <w:t>https://smlr.rutgers.edu/faculty-research-engagement/education-employment-research-center-eerc/noncredit-education-and-non</w:t>
        </w:r>
      </w:hyperlink>
      <w:r w:rsidRPr="00F95AB0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090A" w14:textId="1F3D0C91" w:rsidR="00F95AB0" w:rsidRDefault="00000000" w:rsidP="004F1AC8">
    <w:pPr>
      <w:pStyle w:val="Heading1"/>
      <w:spacing w:before="120" w:after="120"/>
      <w:jc w:val="right"/>
    </w:pPr>
    <w:sdt>
      <w:sdtPr>
        <w:id w:val="-817264793"/>
        <w:docPartObj>
          <w:docPartGallery w:val="Watermarks"/>
          <w:docPartUnique/>
        </w:docPartObj>
      </w:sdtPr>
      <w:sdtContent/>
    </w:sdt>
    <w:r w:rsidR="006C56C9">
      <w:rPr>
        <w:noProof/>
      </w:rPr>
      <w:drawing>
        <wp:anchor distT="0" distB="0" distL="114300" distR="114300" simplePos="0" relativeHeight="251657216" behindDoc="1" locked="0" layoutInCell="1" allowOverlap="1" wp14:anchorId="687AA488" wp14:editId="4764670E">
          <wp:simplePos x="0" y="0"/>
          <wp:positionH relativeFrom="column">
            <wp:posOffset>27458</wp:posOffset>
          </wp:positionH>
          <wp:positionV relativeFrom="paragraph">
            <wp:posOffset>-177975</wp:posOffset>
          </wp:positionV>
          <wp:extent cx="1845945" cy="657225"/>
          <wp:effectExtent l="0" t="0" r="1905" b="9525"/>
          <wp:wrapTight wrapText="bothSides">
            <wp:wrapPolygon edited="0">
              <wp:start x="0" y="0"/>
              <wp:lineTo x="0" y="21287"/>
              <wp:lineTo x="21399" y="21287"/>
              <wp:lineTo x="21399" y="0"/>
              <wp:lineTo x="0" y="0"/>
            </wp:wrapPolygon>
          </wp:wrapTight>
          <wp:docPr id="1428263886" name="Picture 1" descr="SBCTC starburst logo with the words Community and Technical Colleges Washington State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63886" name="Picture 1" descr="SBCTC starburst logo with the words Community and Technical Colleges Washington State Boa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94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4A5C392" w:rsidRPr="7D298549">
      <w:rPr>
        <w:rFonts w:ascii="Franklin Gothic" w:eastAsia="Franklin Gothic" w:hAnsi="Franklin Gothic" w:cs="Franklin Gothic"/>
      </w:rPr>
      <w:t>Noncredit Task Force</w:t>
    </w:r>
  </w:p>
  <w:p w14:paraId="0F7D6C5B" w14:textId="710517D1" w:rsidR="54A5C392" w:rsidRDefault="54A5C392" w:rsidP="54A5C392">
    <w:pPr>
      <w:pStyle w:val="Heading2"/>
      <w:jc w:val="right"/>
    </w:pPr>
    <w:r w:rsidRPr="54A5C392">
      <w:rPr>
        <w:rFonts w:ascii="Franklin Gothic" w:eastAsia="Franklin Gothic" w:hAnsi="Franklin Gothic" w:cs="Franklin Gothic"/>
      </w:rPr>
      <w:t>Adopted Nov. 19, 2025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h74T8fj" int2:invalidationBookmarkName="" int2:hashCode="wzFHxjcq6gA7bi" int2:id="mWOSyxs2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18FC"/>
    <w:multiLevelType w:val="hybridMultilevel"/>
    <w:tmpl w:val="4524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34A"/>
    <w:multiLevelType w:val="hybridMultilevel"/>
    <w:tmpl w:val="6BE4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6A90"/>
    <w:multiLevelType w:val="hybridMultilevel"/>
    <w:tmpl w:val="A74C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A2F24"/>
    <w:multiLevelType w:val="hybridMultilevel"/>
    <w:tmpl w:val="8B24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436"/>
    <w:multiLevelType w:val="hybridMultilevel"/>
    <w:tmpl w:val="5AC25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D0924"/>
    <w:multiLevelType w:val="hybridMultilevel"/>
    <w:tmpl w:val="BD74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04FA0"/>
    <w:multiLevelType w:val="hybridMultilevel"/>
    <w:tmpl w:val="25BCEE1E"/>
    <w:lvl w:ilvl="0" w:tplc="8662DC30">
      <w:start w:val="1"/>
      <w:numFmt w:val="decimal"/>
      <w:lvlText w:val="%1."/>
      <w:lvlJc w:val="left"/>
      <w:pPr>
        <w:ind w:left="360" w:hanging="360"/>
      </w:pPr>
    </w:lvl>
    <w:lvl w:ilvl="1" w:tplc="95DCAB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D0F7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10D6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0004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4CCC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4E4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C63F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544C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384E1E"/>
    <w:multiLevelType w:val="hybridMultilevel"/>
    <w:tmpl w:val="1A6A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25C33"/>
    <w:multiLevelType w:val="hybridMultilevel"/>
    <w:tmpl w:val="CF76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24BD7"/>
    <w:multiLevelType w:val="hybridMultilevel"/>
    <w:tmpl w:val="C652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A0789"/>
    <w:multiLevelType w:val="hybridMultilevel"/>
    <w:tmpl w:val="44E6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64169"/>
    <w:multiLevelType w:val="hybridMultilevel"/>
    <w:tmpl w:val="564E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33C25"/>
    <w:multiLevelType w:val="hybridMultilevel"/>
    <w:tmpl w:val="19C2A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01848"/>
    <w:multiLevelType w:val="hybridMultilevel"/>
    <w:tmpl w:val="83FC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909C0"/>
    <w:multiLevelType w:val="hybridMultilevel"/>
    <w:tmpl w:val="6D6C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41272">
    <w:abstractNumId w:val="14"/>
  </w:num>
  <w:num w:numId="2" w16cid:durableId="802768347">
    <w:abstractNumId w:val="4"/>
  </w:num>
  <w:num w:numId="3" w16cid:durableId="1706716734">
    <w:abstractNumId w:val="3"/>
  </w:num>
  <w:num w:numId="4" w16cid:durableId="844054947">
    <w:abstractNumId w:val="11"/>
  </w:num>
  <w:num w:numId="5" w16cid:durableId="631788287">
    <w:abstractNumId w:val="7"/>
  </w:num>
  <w:num w:numId="6" w16cid:durableId="1327048995">
    <w:abstractNumId w:val="5"/>
  </w:num>
  <w:num w:numId="7" w16cid:durableId="1624193761">
    <w:abstractNumId w:val="9"/>
  </w:num>
  <w:num w:numId="8" w16cid:durableId="755589613">
    <w:abstractNumId w:val="1"/>
  </w:num>
  <w:num w:numId="9" w16cid:durableId="271717467">
    <w:abstractNumId w:val="2"/>
  </w:num>
  <w:num w:numId="10" w16cid:durableId="1023093058">
    <w:abstractNumId w:val="12"/>
  </w:num>
  <w:num w:numId="11" w16cid:durableId="65959546">
    <w:abstractNumId w:val="13"/>
  </w:num>
  <w:num w:numId="12" w16cid:durableId="2008435748">
    <w:abstractNumId w:val="8"/>
  </w:num>
  <w:num w:numId="13" w16cid:durableId="2072926223">
    <w:abstractNumId w:val="6"/>
  </w:num>
  <w:num w:numId="14" w16cid:durableId="498933191">
    <w:abstractNumId w:val="0"/>
  </w:num>
  <w:num w:numId="15" w16cid:durableId="1537428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8C"/>
    <w:rsid w:val="00001A79"/>
    <w:rsid w:val="000056EE"/>
    <w:rsid w:val="00005DBD"/>
    <w:rsid w:val="00012428"/>
    <w:rsid w:val="000569C0"/>
    <w:rsid w:val="0007507A"/>
    <w:rsid w:val="00087BDA"/>
    <w:rsid w:val="00092DD8"/>
    <w:rsid w:val="000A3AEE"/>
    <w:rsid w:val="000B7A51"/>
    <w:rsid w:val="000C111E"/>
    <w:rsid w:val="000C3E0C"/>
    <w:rsid w:val="000E60EC"/>
    <w:rsid w:val="001434C9"/>
    <w:rsid w:val="00162903"/>
    <w:rsid w:val="00166A1A"/>
    <w:rsid w:val="00172D57"/>
    <w:rsid w:val="001A1B96"/>
    <w:rsid w:val="001AB72C"/>
    <w:rsid w:val="001B2824"/>
    <w:rsid w:val="001E25B9"/>
    <w:rsid w:val="00200F22"/>
    <w:rsid w:val="00202FE9"/>
    <w:rsid w:val="00234508"/>
    <w:rsid w:val="002451AF"/>
    <w:rsid w:val="002497C9"/>
    <w:rsid w:val="00256D9D"/>
    <w:rsid w:val="002B460F"/>
    <w:rsid w:val="002D3501"/>
    <w:rsid w:val="002E7FA0"/>
    <w:rsid w:val="002F040A"/>
    <w:rsid w:val="00332B29"/>
    <w:rsid w:val="00335BFD"/>
    <w:rsid w:val="00352259"/>
    <w:rsid w:val="003623FD"/>
    <w:rsid w:val="00372EAB"/>
    <w:rsid w:val="0038479C"/>
    <w:rsid w:val="003A6A6F"/>
    <w:rsid w:val="003D60AD"/>
    <w:rsid w:val="003F0B9B"/>
    <w:rsid w:val="00421C53"/>
    <w:rsid w:val="00452235"/>
    <w:rsid w:val="004628E9"/>
    <w:rsid w:val="00492D5D"/>
    <w:rsid w:val="004B0412"/>
    <w:rsid w:val="004D5963"/>
    <w:rsid w:val="004D7A4F"/>
    <w:rsid w:val="004E62B2"/>
    <w:rsid w:val="004F1AC8"/>
    <w:rsid w:val="00506C7C"/>
    <w:rsid w:val="00522F6F"/>
    <w:rsid w:val="00526093"/>
    <w:rsid w:val="005426AC"/>
    <w:rsid w:val="00544312"/>
    <w:rsid w:val="00544A9F"/>
    <w:rsid w:val="00553E89"/>
    <w:rsid w:val="0056514C"/>
    <w:rsid w:val="005958E1"/>
    <w:rsid w:val="005962C2"/>
    <w:rsid w:val="005A769A"/>
    <w:rsid w:val="005B69B2"/>
    <w:rsid w:val="005E7044"/>
    <w:rsid w:val="005F0114"/>
    <w:rsid w:val="005F4B53"/>
    <w:rsid w:val="005F69CB"/>
    <w:rsid w:val="006140D3"/>
    <w:rsid w:val="00617F87"/>
    <w:rsid w:val="006528A3"/>
    <w:rsid w:val="006708E7"/>
    <w:rsid w:val="00675189"/>
    <w:rsid w:val="00694C46"/>
    <w:rsid w:val="006A2221"/>
    <w:rsid w:val="006A2F80"/>
    <w:rsid w:val="006B0A31"/>
    <w:rsid w:val="006B1311"/>
    <w:rsid w:val="006B53DC"/>
    <w:rsid w:val="006C56C9"/>
    <w:rsid w:val="0071531D"/>
    <w:rsid w:val="00777EC9"/>
    <w:rsid w:val="00791605"/>
    <w:rsid w:val="007951D1"/>
    <w:rsid w:val="00797D45"/>
    <w:rsid w:val="007A5540"/>
    <w:rsid w:val="007D551A"/>
    <w:rsid w:val="007E26AA"/>
    <w:rsid w:val="007E2922"/>
    <w:rsid w:val="007F7D3D"/>
    <w:rsid w:val="00805738"/>
    <w:rsid w:val="0083367B"/>
    <w:rsid w:val="00861D9E"/>
    <w:rsid w:val="00863E93"/>
    <w:rsid w:val="0088292D"/>
    <w:rsid w:val="00888BFC"/>
    <w:rsid w:val="008A2CA0"/>
    <w:rsid w:val="008B72A1"/>
    <w:rsid w:val="009114C8"/>
    <w:rsid w:val="00911EA5"/>
    <w:rsid w:val="00932D91"/>
    <w:rsid w:val="009359F0"/>
    <w:rsid w:val="0094236C"/>
    <w:rsid w:val="009439BE"/>
    <w:rsid w:val="00962B7F"/>
    <w:rsid w:val="00962EA9"/>
    <w:rsid w:val="009706ED"/>
    <w:rsid w:val="009762CA"/>
    <w:rsid w:val="009823C6"/>
    <w:rsid w:val="00983560"/>
    <w:rsid w:val="009B4924"/>
    <w:rsid w:val="009B5757"/>
    <w:rsid w:val="009F6E67"/>
    <w:rsid w:val="00A051E0"/>
    <w:rsid w:val="00A248C1"/>
    <w:rsid w:val="00A27AA9"/>
    <w:rsid w:val="00A30926"/>
    <w:rsid w:val="00A8223F"/>
    <w:rsid w:val="00A97370"/>
    <w:rsid w:val="00AA7B3F"/>
    <w:rsid w:val="00B05C88"/>
    <w:rsid w:val="00B24AAE"/>
    <w:rsid w:val="00B61642"/>
    <w:rsid w:val="00B65485"/>
    <w:rsid w:val="00B90844"/>
    <w:rsid w:val="00BA55AE"/>
    <w:rsid w:val="00BD736B"/>
    <w:rsid w:val="00BF19A4"/>
    <w:rsid w:val="00C161D9"/>
    <w:rsid w:val="00C23CE7"/>
    <w:rsid w:val="00C34D47"/>
    <w:rsid w:val="00C62FD7"/>
    <w:rsid w:val="00C87AF3"/>
    <w:rsid w:val="00C96B22"/>
    <w:rsid w:val="00CA6500"/>
    <w:rsid w:val="00CA7955"/>
    <w:rsid w:val="00CB67F8"/>
    <w:rsid w:val="00CE2FFA"/>
    <w:rsid w:val="00D2489D"/>
    <w:rsid w:val="00D6036D"/>
    <w:rsid w:val="00D6A305"/>
    <w:rsid w:val="00D97B6A"/>
    <w:rsid w:val="00DF383A"/>
    <w:rsid w:val="00E01316"/>
    <w:rsid w:val="00E27E32"/>
    <w:rsid w:val="00E320A0"/>
    <w:rsid w:val="00E9405A"/>
    <w:rsid w:val="00EB06A3"/>
    <w:rsid w:val="00EC09CE"/>
    <w:rsid w:val="00ED0708"/>
    <w:rsid w:val="00ED3055"/>
    <w:rsid w:val="00EE6DD0"/>
    <w:rsid w:val="00EF5A3C"/>
    <w:rsid w:val="00EF7F8F"/>
    <w:rsid w:val="00F3028C"/>
    <w:rsid w:val="00F65008"/>
    <w:rsid w:val="00F95AB0"/>
    <w:rsid w:val="00FA5418"/>
    <w:rsid w:val="00FE1298"/>
    <w:rsid w:val="010C2CA7"/>
    <w:rsid w:val="01369068"/>
    <w:rsid w:val="020AC4D1"/>
    <w:rsid w:val="025028EA"/>
    <w:rsid w:val="033F97F5"/>
    <w:rsid w:val="041AE920"/>
    <w:rsid w:val="04E20CE0"/>
    <w:rsid w:val="0599BA7A"/>
    <w:rsid w:val="05BB3E23"/>
    <w:rsid w:val="065F001D"/>
    <w:rsid w:val="08C21D06"/>
    <w:rsid w:val="0A4EC39E"/>
    <w:rsid w:val="0BC1465D"/>
    <w:rsid w:val="0CE23F8D"/>
    <w:rsid w:val="0D616798"/>
    <w:rsid w:val="0E29411A"/>
    <w:rsid w:val="0F6C6731"/>
    <w:rsid w:val="10B871C3"/>
    <w:rsid w:val="10C258E1"/>
    <w:rsid w:val="11537060"/>
    <w:rsid w:val="133694FA"/>
    <w:rsid w:val="136F2396"/>
    <w:rsid w:val="13714A73"/>
    <w:rsid w:val="13AE9360"/>
    <w:rsid w:val="14CA5B3F"/>
    <w:rsid w:val="150005E6"/>
    <w:rsid w:val="1658668E"/>
    <w:rsid w:val="1859BB2E"/>
    <w:rsid w:val="1966C76E"/>
    <w:rsid w:val="1B19364F"/>
    <w:rsid w:val="1C667F6D"/>
    <w:rsid w:val="1C8BD91A"/>
    <w:rsid w:val="1CC64E2E"/>
    <w:rsid w:val="1D6DF556"/>
    <w:rsid w:val="1D99A5CA"/>
    <w:rsid w:val="1E892188"/>
    <w:rsid w:val="1EF2D086"/>
    <w:rsid w:val="1F100ACD"/>
    <w:rsid w:val="1F165DA3"/>
    <w:rsid w:val="1F6228B8"/>
    <w:rsid w:val="2032878E"/>
    <w:rsid w:val="20A2D84C"/>
    <w:rsid w:val="21DE03FB"/>
    <w:rsid w:val="223AC774"/>
    <w:rsid w:val="24BFA163"/>
    <w:rsid w:val="257301F0"/>
    <w:rsid w:val="257ADD64"/>
    <w:rsid w:val="25AC014C"/>
    <w:rsid w:val="25F21F41"/>
    <w:rsid w:val="25F525D9"/>
    <w:rsid w:val="26228791"/>
    <w:rsid w:val="26CA4BC0"/>
    <w:rsid w:val="270A4C67"/>
    <w:rsid w:val="27262FBE"/>
    <w:rsid w:val="274CD8A9"/>
    <w:rsid w:val="28D1FC66"/>
    <w:rsid w:val="2935DDAE"/>
    <w:rsid w:val="29E8FDF0"/>
    <w:rsid w:val="2A535AF0"/>
    <w:rsid w:val="2B4E14D8"/>
    <w:rsid w:val="2BE150A6"/>
    <w:rsid w:val="2C84473D"/>
    <w:rsid w:val="2CD88B12"/>
    <w:rsid w:val="2CE34AB9"/>
    <w:rsid w:val="2CFB31F6"/>
    <w:rsid w:val="2DED72AD"/>
    <w:rsid w:val="2F93D6F8"/>
    <w:rsid w:val="303A2B80"/>
    <w:rsid w:val="31033E1F"/>
    <w:rsid w:val="31C77782"/>
    <w:rsid w:val="32885E01"/>
    <w:rsid w:val="32C2638F"/>
    <w:rsid w:val="32CB2388"/>
    <w:rsid w:val="3394DD6C"/>
    <w:rsid w:val="348AA5D7"/>
    <w:rsid w:val="34BF008C"/>
    <w:rsid w:val="355A04E6"/>
    <w:rsid w:val="355D4B7B"/>
    <w:rsid w:val="35DCA658"/>
    <w:rsid w:val="35EC69B1"/>
    <w:rsid w:val="36255AC4"/>
    <w:rsid w:val="36BE743F"/>
    <w:rsid w:val="37BC6102"/>
    <w:rsid w:val="3897AFE5"/>
    <w:rsid w:val="3905593A"/>
    <w:rsid w:val="39DE7B3E"/>
    <w:rsid w:val="3A102F05"/>
    <w:rsid w:val="3A4269B1"/>
    <w:rsid w:val="3A6BD6BC"/>
    <w:rsid w:val="3A9C2430"/>
    <w:rsid w:val="3ABB1F5A"/>
    <w:rsid w:val="3BEC6D47"/>
    <w:rsid w:val="3C197603"/>
    <w:rsid w:val="3C89D0E7"/>
    <w:rsid w:val="3CE24724"/>
    <w:rsid w:val="3D2C0502"/>
    <w:rsid w:val="3E62E3D8"/>
    <w:rsid w:val="3E8D048F"/>
    <w:rsid w:val="405DADE0"/>
    <w:rsid w:val="40A67F86"/>
    <w:rsid w:val="40CB980A"/>
    <w:rsid w:val="40D4B3A1"/>
    <w:rsid w:val="4196186E"/>
    <w:rsid w:val="42716620"/>
    <w:rsid w:val="42ED7275"/>
    <w:rsid w:val="4315FBB8"/>
    <w:rsid w:val="43341E5C"/>
    <w:rsid w:val="45904AC4"/>
    <w:rsid w:val="46531978"/>
    <w:rsid w:val="471BE7C9"/>
    <w:rsid w:val="47337342"/>
    <w:rsid w:val="4889E616"/>
    <w:rsid w:val="48B494A0"/>
    <w:rsid w:val="49313929"/>
    <w:rsid w:val="4B5CDD59"/>
    <w:rsid w:val="4C7EE2AA"/>
    <w:rsid w:val="4CA0F129"/>
    <w:rsid w:val="4D09F2A9"/>
    <w:rsid w:val="4D3794D9"/>
    <w:rsid w:val="4DCEFA84"/>
    <w:rsid w:val="4DDFCF35"/>
    <w:rsid w:val="4EB6E038"/>
    <w:rsid w:val="4EBED4BF"/>
    <w:rsid w:val="4EF5FB66"/>
    <w:rsid w:val="4FE9D97F"/>
    <w:rsid w:val="50BFC1D0"/>
    <w:rsid w:val="523C9E24"/>
    <w:rsid w:val="53E60C38"/>
    <w:rsid w:val="549FBC95"/>
    <w:rsid w:val="54A3346E"/>
    <w:rsid w:val="54A5C392"/>
    <w:rsid w:val="54AE1EB1"/>
    <w:rsid w:val="553532EE"/>
    <w:rsid w:val="5708D25C"/>
    <w:rsid w:val="57554368"/>
    <w:rsid w:val="5855BA6E"/>
    <w:rsid w:val="587732E4"/>
    <w:rsid w:val="589808B1"/>
    <w:rsid w:val="58F5AA41"/>
    <w:rsid w:val="595FB753"/>
    <w:rsid w:val="5AC893E4"/>
    <w:rsid w:val="5B285F71"/>
    <w:rsid w:val="5B346BC1"/>
    <w:rsid w:val="5B402741"/>
    <w:rsid w:val="5B40A0C6"/>
    <w:rsid w:val="5B65DAB1"/>
    <w:rsid w:val="5BC18EB1"/>
    <w:rsid w:val="5BD8AE4B"/>
    <w:rsid w:val="5C054377"/>
    <w:rsid w:val="5CBB120A"/>
    <w:rsid w:val="5D4631DD"/>
    <w:rsid w:val="5DA840E6"/>
    <w:rsid w:val="5DCB23D2"/>
    <w:rsid w:val="5DD24347"/>
    <w:rsid w:val="5F7B9826"/>
    <w:rsid w:val="605956DF"/>
    <w:rsid w:val="60AD9ECD"/>
    <w:rsid w:val="60C4FEA2"/>
    <w:rsid w:val="61CC6F37"/>
    <w:rsid w:val="61E096FD"/>
    <w:rsid w:val="62E86784"/>
    <w:rsid w:val="62FBD675"/>
    <w:rsid w:val="64198011"/>
    <w:rsid w:val="64DBA2EC"/>
    <w:rsid w:val="64E73592"/>
    <w:rsid w:val="656C5602"/>
    <w:rsid w:val="65A336E8"/>
    <w:rsid w:val="65F70F5B"/>
    <w:rsid w:val="66308658"/>
    <w:rsid w:val="6631B429"/>
    <w:rsid w:val="6694B77F"/>
    <w:rsid w:val="673A6CD4"/>
    <w:rsid w:val="68467576"/>
    <w:rsid w:val="69A65B52"/>
    <w:rsid w:val="69EC3EED"/>
    <w:rsid w:val="69F59545"/>
    <w:rsid w:val="6AA191CB"/>
    <w:rsid w:val="6AA5389C"/>
    <w:rsid w:val="6AA64515"/>
    <w:rsid w:val="6B6B3269"/>
    <w:rsid w:val="6CAE61F2"/>
    <w:rsid w:val="6D0887A9"/>
    <w:rsid w:val="6E43CB02"/>
    <w:rsid w:val="6E9C90EE"/>
    <w:rsid w:val="6F2300B7"/>
    <w:rsid w:val="6F9809AC"/>
    <w:rsid w:val="70329592"/>
    <w:rsid w:val="703E11DE"/>
    <w:rsid w:val="7085BB02"/>
    <w:rsid w:val="730F76CB"/>
    <w:rsid w:val="734FA7C1"/>
    <w:rsid w:val="73948F24"/>
    <w:rsid w:val="73BAE889"/>
    <w:rsid w:val="7426BB16"/>
    <w:rsid w:val="748378B7"/>
    <w:rsid w:val="75823570"/>
    <w:rsid w:val="75BA266C"/>
    <w:rsid w:val="75FBC6E2"/>
    <w:rsid w:val="7716FDFC"/>
    <w:rsid w:val="771F7BBC"/>
    <w:rsid w:val="77F827DF"/>
    <w:rsid w:val="7814FFEB"/>
    <w:rsid w:val="793042F9"/>
    <w:rsid w:val="79533D1E"/>
    <w:rsid w:val="7994876B"/>
    <w:rsid w:val="79CCE690"/>
    <w:rsid w:val="7A7A7753"/>
    <w:rsid w:val="7A8BA9F2"/>
    <w:rsid w:val="7B27EBB8"/>
    <w:rsid w:val="7B8747F3"/>
    <w:rsid w:val="7C65683C"/>
    <w:rsid w:val="7D298549"/>
    <w:rsid w:val="7D5CF9CD"/>
    <w:rsid w:val="7D739D79"/>
    <w:rsid w:val="7DC58462"/>
    <w:rsid w:val="7DE991CB"/>
    <w:rsid w:val="7E33C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5CA1E"/>
  <w15:chartTrackingRefBased/>
  <w15:docId w15:val="{C4877028-CE60-4144-B093-E222929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28C"/>
    <w:pPr>
      <w:spacing w:after="160" w:line="259" w:lineRule="auto"/>
    </w:pPr>
    <w:rPr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0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2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2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2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2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0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0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0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2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0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28C"/>
  </w:style>
  <w:style w:type="paragraph" w:styleId="Footer">
    <w:name w:val="footer"/>
    <w:basedOn w:val="Normal"/>
    <w:link w:val="FooterChar"/>
    <w:uiPriority w:val="99"/>
    <w:unhideWhenUsed/>
    <w:rsid w:val="00F30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28C"/>
  </w:style>
  <w:style w:type="paragraph" w:customStyle="1" w:styleId="Body">
    <w:name w:val="Body"/>
    <w:basedOn w:val="Normal"/>
    <w:link w:val="BodyChar"/>
    <w:qFormat/>
    <w:rsid w:val="00F3028C"/>
    <w:pPr>
      <w:widowControl w:val="0"/>
      <w:suppressAutoHyphens/>
      <w:autoSpaceDE w:val="0"/>
      <w:autoSpaceDN w:val="0"/>
      <w:adjustRightInd w:val="0"/>
      <w:spacing w:before="120" w:after="0" w:line="280" w:lineRule="atLeast"/>
      <w:textAlignment w:val="center"/>
    </w:pPr>
    <w:rPr>
      <w:rFonts w:ascii="Franklin Gothic Book" w:hAnsi="Franklin Gothic Book"/>
      <w:color w:val="auto"/>
      <w:sz w:val="20"/>
    </w:rPr>
  </w:style>
  <w:style w:type="character" w:customStyle="1" w:styleId="BodyChar">
    <w:name w:val="Body Char"/>
    <w:basedOn w:val="DefaultParagraphFont"/>
    <w:link w:val="Body"/>
    <w:rsid w:val="00F3028C"/>
    <w:rPr>
      <w:rFonts w:ascii="Franklin Gothic Book" w:hAnsi="Franklin Gothic Book"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semiHidden/>
    <w:rsid w:val="007E26AA"/>
    <w:rPr>
      <w:rFonts w:ascii="Franklin Gothic Book" w:hAnsi="Franklin Gothic Book"/>
      <w:color w:val="467886" w:themeColor="hyperlink"/>
      <w:sz w:val="2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26AA"/>
    <w:pPr>
      <w:spacing w:after="0" w:line="240" w:lineRule="auto"/>
    </w:pPr>
    <w:rPr>
      <w:color w:val="auto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6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26AA"/>
    <w:rPr>
      <w:vertAlign w:val="superscript"/>
    </w:rPr>
  </w:style>
  <w:style w:type="table" w:styleId="TableGrid">
    <w:name w:val="Table Grid"/>
    <w:basedOn w:val="TableNormal"/>
    <w:uiPriority w:val="39"/>
    <w:rsid w:val="007E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7E32"/>
    <w:rPr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2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2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23FD"/>
    <w:rPr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3FD"/>
    <w:rPr>
      <w:b/>
      <w:bCs/>
      <w:color w:val="000000" w:themeColor="text1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D7A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2CA0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F95AB0"/>
    <w:rPr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acc.nche.edu/research-trends/fast-facts/" TargetMode="External"/><Relationship Id="rId2" Type="http://schemas.openxmlformats.org/officeDocument/2006/relationships/hyperlink" Target="https://www.aacc.nche.edu/research-trends/fast-facts/" TargetMode="External"/><Relationship Id="rId1" Type="http://schemas.openxmlformats.org/officeDocument/2006/relationships/hyperlink" Target="https://www.brookings.edu/articles/noncredit-workforce-training-programs-are-very-popular-we-know-next-to-nothing-about-them/" TargetMode="External"/><Relationship Id="rId4" Type="http://schemas.openxmlformats.org/officeDocument/2006/relationships/hyperlink" Target="https://smlr.rutgers.edu/faculty-research-engagement/education-employment-research-center-eerc/noncredit-education-and-n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1517</Words>
  <Characters>9560</Characters>
  <Application>Microsoft Office Word</Application>
  <DocSecurity>0</DocSecurity>
  <Lines>167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McKinnon</dc:creator>
  <cp:keywords/>
  <dc:description/>
  <cp:lastModifiedBy>Stacey Hagreen</cp:lastModifiedBy>
  <cp:revision>3</cp:revision>
  <dcterms:created xsi:type="dcterms:W3CDTF">2026-01-31T01:03:00Z</dcterms:created>
  <dcterms:modified xsi:type="dcterms:W3CDTF">2026-01-31T01:05:00Z</dcterms:modified>
</cp:coreProperties>
</file>